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0D753" w14:textId="4AB17A79" w:rsidR="00F5493C" w:rsidRPr="0069753D" w:rsidRDefault="00F5493C" w:rsidP="00D86E40">
      <w:pPr>
        <w:pStyle w:val="SecurityMarker"/>
        <w:framePr w:w="11873" w:h="465" w:hRule="exact" w:hSpace="181" w:wrap="around" w:vAnchor="page" w:hAnchor="page" w:x="29" w:y="353" w:anchorLock="1"/>
        <w:tabs>
          <w:tab w:val="center" w:pos="4932"/>
          <w:tab w:val="left" w:pos="7290"/>
        </w:tabs>
        <w:ind w:left="0"/>
        <w:rPr>
          <w:color w:val="FF0000"/>
        </w:rPr>
      </w:pPr>
      <w:bookmarkStart w:id="0" w:name="_Hlk148942357"/>
    </w:p>
    <w:bookmarkEnd w:id="0"/>
    <w:p w14:paraId="63D1739A" w14:textId="5E57F85C" w:rsidR="00BA24FB" w:rsidRPr="00B54E13" w:rsidRDefault="00BA24FB" w:rsidP="00B54E13">
      <w:pPr>
        <w:spacing w:before="0" w:after="0"/>
        <w:rPr>
          <w:sz w:val="2"/>
          <w:szCs w:val="2"/>
        </w:rPr>
      </w:pPr>
    </w:p>
    <w:p w14:paraId="754CBCB9" w14:textId="77777777" w:rsidR="00827492" w:rsidRDefault="00827492" w:rsidP="002C5896">
      <w:pPr>
        <w:framePr w:w="7911" w:h="1134" w:hSpace="181" w:wrap="around" w:vAnchor="page" w:hAnchor="page" w:x="1022" w:y="1135" w:anchorLock="1"/>
        <w:spacing w:before="0" w:after="0"/>
      </w:pPr>
      <w:r>
        <w:rPr>
          <w:noProof/>
          <w:lang w:eastAsia="en-AU"/>
        </w:rPr>
        <w:drawing>
          <wp:inline distT="0" distB="0" distL="0" distR="0" wp14:anchorId="71E9B88F" wp14:editId="784DD097">
            <wp:extent cx="3016123" cy="669240"/>
            <wp:effectExtent l="0" t="0" r="0" b="0"/>
            <wp:docPr id="5" name="Picture 5" descr="Infrastructure and Transport Minist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11" cstate="print">
                      <a:duotone>
                        <a:prstClr val="black"/>
                        <a:schemeClr val="tx1">
                          <a:tint val="45000"/>
                          <a:satMod val="400000"/>
                        </a:schemeClr>
                      </a:duotone>
                      <a:extLst>
                        <a:ext uri="{BEBA8EAE-BF5A-486C-A8C5-ECC9F3942E4B}">
                          <a14:imgProps xmlns:a14="http://schemas.microsoft.com/office/drawing/2010/main">
                            <a14:imgLayer r:embed="rId12">
                              <a14:imgEffect>
                                <a14:colorTemperature colorTemp="11200"/>
                              </a14:imgEffect>
                              <a14:imgEffect>
                                <a14:brightnessContrast bright="-100000"/>
                              </a14:imgEffect>
                            </a14:imgLayer>
                          </a14:imgProps>
                        </a:ext>
                        <a:ext uri="{28A0092B-C50C-407E-A947-70E740481C1C}">
                          <a14:useLocalDpi xmlns:a14="http://schemas.microsoft.com/office/drawing/2010/main" val="0"/>
                        </a:ext>
                      </a:extLst>
                    </a:blip>
                    <a:stretch>
                      <a:fillRect/>
                    </a:stretch>
                  </pic:blipFill>
                  <pic:spPr>
                    <a:xfrm>
                      <a:off x="0" y="0"/>
                      <a:ext cx="3016123" cy="669240"/>
                    </a:xfrm>
                    <a:prstGeom prst="rect">
                      <a:avLst/>
                    </a:prstGeom>
                  </pic:spPr>
                </pic:pic>
              </a:graphicData>
            </a:graphic>
          </wp:inline>
        </w:drawing>
      </w:r>
    </w:p>
    <w:p w14:paraId="1BF106FC" w14:textId="698B613B" w:rsidR="008456D5" w:rsidRDefault="008456D5" w:rsidP="00637A1E">
      <w:pPr>
        <w:spacing w:before="240" w:after="0"/>
        <w:ind w:left="-1247"/>
      </w:pPr>
    </w:p>
    <w:sdt>
      <w:sdtPr>
        <w:alias w:val="Title"/>
        <w:tag w:val=""/>
        <w:id w:val="975726233"/>
        <w:placeholder>
          <w:docPart w:val="257F56C4D43A4FD9984143803A0D831C"/>
        </w:placeholder>
        <w:dataBinding w:prefixMappings="xmlns:ns0='http://purl.org/dc/elements/1.1/' xmlns:ns1='http://schemas.openxmlformats.org/package/2006/metadata/core-properties' " w:xpath="/ns1:coreProperties[1]/ns0:title[1]" w:storeItemID="{6C3C8BC8-F283-45AE-878A-BAB7291924A1}"/>
        <w:text/>
      </w:sdtPr>
      <w:sdtEndPr/>
      <w:sdtContent>
        <w:p w14:paraId="08A5BC1B" w14:textId="51874924" w:rsidR="00BC34B4" w:rsidRPr="00752D6D" w:rsidRDefault="008D0E08" w:rsidP="002C5896">
          <w:pPr>
            <w:pStyle w:val="Title"/>
            <w:spacing w:before="1080"/>
            <w:ind w:left="284" w:right="-59"/>
          </w:pPr>
          <w:r>
            <w:t>National Freight and</w:t>
          </w:r>
          <w:r w:rsidR="00EC77AF">
            <w:t xml:space="preserve"> </w:t>
          </w:r>
          <w:r>
            <w:t>Supply</w:t>
          </w:r>
          <w:r w:rsidR="00637A1E">
            <w:t xml:space="preserve"> </w:t>
          </w:r>
          <w:r>
            <w:t>Chain</w:t>
          </w:r>
          <w:r w:rsidR="002C5896">
            <w:t xml:space="preserve"> </w:t>
          </w:r>
          <w:r>
            <w:t>Strategy</w:t>
          </w:r>
        </w:p>
      </w:sdtContent>
    </w:sdt>
    <w:p w14:paraId="4EBCEA36" w14:textId="6BEC12DF" w:rsidR="004574FC" w:rsidRPr="00774CD2" w:rsidRDefault="004574FC" w:rsidP="004574FC">
      <w:pPr>
        <w:pStyle w:val="Subtitle"/>
        <w:spacing w:before="600"/>
        <w:rPr>
          <w:color w:val="008089" w:themeColor="accent2"/>
          <w:sz w:val="44"/>
        </w:rPr>
      </w:pPr>
      <w:r w:rsidRPr="00774CD2">
        <w:rPr>
          <w:color w:val="008089" w:themeColor="accent2"/>
          <w:sz w:val="44"/>
        </w:rPr>
        <w:t>National Action Plan 2025</w:t>
      </w:r>
      <w:r w:rsidR="00774CD2" w:rsidRPr="00774CD2">
        <w:rPr>
          <w:color w:val="008089" w:themeColor="accent2"/>
          <w:sz w:val="44"/>
        </w:rPr>
        <w:t>-</w:t>
      </w:r>
      <w:r w:rsidR="00A10F99">
        <w:rPr>
          <w:color w:val="008089" w:themeColor="accent2"/>
          <w:sz w:val="44"/>
        </w:rPr>
        <w:t>29</w:t>
      </w:r>
    </w:p>
    <w:p w14:paraId="2A7C8D30" w14:textId="77777777" w:rsidR="00EC77AF" w:rsidRDefault="00EC77AF" w:rsidP="00AE5D71">
      <w:pPr>
        <w:pStyle w:val="Subtitle"/>
        <w:spacing w:before="600"/>
        <w:rPr>
          <w:color w:val="000000" w:themeColor="text1"/>
        </w:rPr>
      </w:pPr>
      <w:r>
        <w:rPr>
          <w:noProof/>
        </w:rPr>
        <w:drawing>
          <wp:inline distT="0" distB="0" distL="0" distR="0" wp14:anchorId="39A5DB28" wp14:editId="37A385EC">
            <wp:extent cx="4324350" cy="4637686"/>
            <wp:effectExtent l="38100" t="38100" r="38100" b="29845"/>
            <wp:docPr id="4" name="Picture 4" descr="Cover photo of the National Action Plan. An image of a rail line going through a por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3" cstate="print">
                      <a:extLst>
                        <a:ext uri="{28A0092B-C50C-407E-A947-70E740481C1C}">
                          <a14:useLocalDpi xmlns:a14="http://schemas.microsoft.com/office/drawing/2010/main" val="0"/>
                        </a:ext>
                      </a:extLst>
                    </a:blip>
                    <a:srcRect t="24124"/>
                    <a:stretch/>
                  </pic:blipFill>
                  <pic:spPr bwMode="auto">
                    <a:xfrm>
                      <a:off x="0" y="0"/>
                      <a:ext cx="4327386" cy="4640942"/>
                    </a:xfrm>
                    <a:prstGeom prst="rect">
                      <a:avLst/>
                    </a:prstGeom>
                    <a:ln w="28575">
                      <a:solidFill>
                        <a:schemeClr val="tx1"/>
                      </a:solidFill>
                    </a:ln>
                    <a:extLst>
                      <a:ext uri="{53640926-AAD7-44D8-BBD7-CCE9431645EC}">
                        <a14:shadowObscured xmlns:a14="http://schemas.microsoft.com/office/drawing/2010/main"/>
                      </a:ext>
                    </a:extLst>
                  </pic:spPr>
                </pic:pic>
              </a:graphicData>
            </a:graphic>
          </wp:inline>
        </w:drawing>
      </w:r>
    </w:p>
    <w:p w14:paraId="5D766B23" w14:textId="77777777" w:rsidR="00B54E13" w:rsidRPr="00E1348A" w:rsidRDefault="00B54E13" w:rsidP="00E1348A">
      <w:pPr>
        <w:spacing w:before="0" w:after="0"/>
        <w:rPr>
          <w:sz w:val="2"/>
        </w:rPr>
        <w:sectPr w:rsidR="00B54E13" w:rsidRPr="00E1348A" w:rsidSect="00BA24FB">
          <w:headerReference w:type="default" r:id="rId14"/>
          <w:footerReference w:type="default" r:id="rId15"/>
          <w:headerReference w:type="first" r:id="rId16"/>
          <w:footerReference w:type="first" r:id="rId17"/>
          <w:pgSz w:w="11906" w:h="16838" w:code="9"/>
          <w:pgMar w:top="1021" w:right="1021" w:bottom="1021" w:left="1021" w:header="340" w:footer="397" w:gutter="0"/>
          <w:cols w:space="708"/>
          <w:docGrid w:linePitch="360"/>
        </w:sectPr>
      </w:pPr>
    </w:p>
    <w:p w14:paraId="24A76A26" w14:textId="32C09BC2" w:rsidR="00A04189" w:rsidRDefault="00A04189" w:rsidP="00A04189">
      <w:pPr>
        <w:pStyle w:val="Sourcenotesnumbered"/>
      </w:pPr>
      <w:r>
        <w:lastRenderedPageBreak/>
        <w:t xml:space="preserve">Cover image: Sourced from Getty Images. Credit: </w:t>
      </w:r>
      <w:proofErr w:type="spellStart"/>
      <w:r>
        <w:t>BeyondImages</w:t>
      </w:r>
      <w:proofErr w:type="spellEnd"/>
      <w:r>
        <w:t>.</w:t>
      </w:r>
    </w:p>
    <w:p w14:paraId="1C562E22" w14:textId="77777777" w:rsidR="008F1475" w:rsidRPr="000E5674" w:rsidRDefault="008F1475" w:rsidP="008F1475">
      <w:pPr>
        <w:pStyle w:val="NoSpacing"/>
        <w:spacing w:before="80"/>
      </w:pPr>
      <w:r w:rsidRPr="000E5674">
        <w:t>© Commonwealth of Australia 202</w:t>
      </w:r>
      <w:r>
        <w:t>5</w:t>
      </w:r>
    </w:p>
    <w:p w14:paraId="612C4C8A" w14:textId="77777777" w:rsidR="008F1475" w:rsidRDefault="008F1475" w:rsidP="008F1475">
      <w:pPr>
        <w:pStyle w:val="NoSpacing"/>
        <w:spacing w:before="80"/>
      </w:pPr>
      <w:r>
        <w:t>ISBN 978–1–922879–49–3 (Digital)</w:t>
      </w:r>
    </w:p>
    <w:p w14:paraId="171E5E83" w14:textId="4D3A19C2" w:rsidR="008F1475" w:rsidRPr="006244C6" w:rsidRDefault="00C3248B" w:rsidP="008F1475">
      <w:pPr>
        <w:pStyle w:val="NoSpacing"/>
        <w:spacing w:before="80"/>
      </w:pPr>
      <w:r>
        <w:t>Augu</w:t>
      </w:r>
      <w:bookmarkStart w:id="1" w:name="_GoBack"/>
      <w:bookmarkEnd w:id="1"/>
      <w:r>
        <w:t xml:space="preserve">st </w:t>
      </w:r>
      <w:r w:rsidR="008F1475">
        <w:t>2025</w:t>
      </w:r>
    </w:p>
    <w:p w14:paraId="031C8FC0" w14:textId="77777777" w:rsidR="008F1475" w:rsidRPr="000E5674" w:rsidRDefault="008F1475" w:rsidP="008F1475">
      <w:pPr>
        <w:pStyle w:val="NoSpacing"/>
        <w:spacing w:before="80"/>
      </w:pPr>
      <w:r>
        <w:t>INFRA6331</w:t>
      </w:r>
    </w:p>
    <w:p w14:paraId="45AC422F" w14:textId="77777777" w:rsidR="002D01AA" w:rsidRPr="000E5674" w:rsidRDefault="002D01AA" w:rsidP="002D01AA">
      <w:pPr>
        <w:pStyle w:val="ImprintHeading"/>
        <w:spacing w:before="120" w:after="80"/>
      </w:pPr>
      <w:r w:rsidRPr="000E5674">
        <w:t>Ownership of intellectual property rights in this publication</w:t>
      </w:r>
    </w:p>
    <w:p w14:paraId="7C73E91A" w14:textId="77777777" w:rsidR="002D01AA" w:rsidRPr="000E5674" w:rsidRDefault="002D01AA" w:rsidP="002D01AA">
      <w:pPr>
        <w:spacing w:before="120"/>
        <w:rPr>
          <w:lang w:val="x-none"/>
        </w:rPr>
      </w:pPr>
      <w:r w:rsidRPr="000E5674">
        <w:rPr>
          <w:lang w:val="x-none"/>
        </w:rPr>
        <w:t>Unless otherwise noted, copyright (and any other intellectual property rights, if any) in this publication is owned by the</w:t>
      </w:r>
      <w:r>
        <w:rPr>
          <w:lang w:val="en-US"/>
        </w:rPr>
        <w:t xml:space="preserve"> </w:t>
      </w:r>
      <w:r w:rsidRPr="000E5674">
        <w:rPr>
          <w:lang w:val="x-none"/>
        </w:rPr>
        <w:t>Commonwealth of Australia (referred to below as the Commonwealth).</w:t>
      </w:r>
    </w:p>
    <w:p w14:paraId="05C27718" w14:textId="77777777" w:rsidR="002D01AA" w:rsidRPr="000E5674" w:rsidRDefault="002D01AA" w:rsidP="002D01AA">
      <w:pPr>
        <w:pStyle w:val="ImprintHeading"/>
        <w:spacing w:before="120" w:after="80"/>
      </w:pPr>
      <w:r w:rsidRPr="000E5674">
        <w:t>Disclaimer</w:t>
      </w:r>
    </w:p>
    <w:p w14:paraId="105F95E2" w14:textId="77777777" w:rsidR="002D01AA" w:rsidRPr="000E5674" w:rsidRDefault="002D01AA" w:rsidP="002D01AA">
      <w:pPr>
        <w:spacing w:before="120"/>
        <w:rPr>
          <w:lang w:val="x-none"/>
        </w:rPr>
      </w:pPr>
      <w:r w:rsidRPr="000E5674">
        <w:rPr>
          <w:lang w:val="x-none"/>
        </w:rPr>
        <w:t>The material contained in this publication is made available on the understanding that the Commonwealth is not</w:t>
      </w:r>
      <w:r>
        <w:rPr>
          <w:lang w:val="en-US"/>
        </w:rPr>
        <w:t xml:space="preserve"> </w:t>
      </w:r>
      <w:r w:rsidRPr="000E5674">
        <w:rPr>
          <w:lang w:val="x-none"/>
        </w:rPr>
        <w:t>providing professional advice, and that users exercise their own skill and care with respect to its use, and seek</w:t>
      </w:r>
      <w:r>
        <w:rPr>
          <w:lang w:val="en-US"/>
        </w:rPr>
        <w:t xml:space="preserve"> </w:t>
      </w:r>
      <w:r w:rsidRPr="000E5674">
        <w:rPr>
          <w:lang w:val="x-none"/>
        </w:rPr>
        <w:t>independent advice if necessary.</w:t>
      </w:r>
    </w:p>
    <w:p w14:paraId="3E05C17D" w14:textId="77777777" w:rsidR="002D01AA" w:rsidRDefault="002D01AA" w:rsidP="002D01AA">
      <w:pPr>
        <w:spacing w:before="120"/>
        <w:rPr>
          <w:lang w:val="x-none"/>
        </w:rPr>
      </w:pPr>
      <w:r w:rsidRPr="000E5674">
        <w:rPr>
          <w:lang w:val="x-none"/>
        </w:rPr>
        <w:t>The Commonwealth makes no representations or warranties as to the contents or accuracy of the information contained</w:t>
      </w:r>
      <w:r>
        <w:rPr>
          <w:lang w:val="en-US"/>
        </w:rPr>
        <w:t xml:space="preserve"> </w:t>
      </w:r>
      <w:r w:rsidRPr="000E5674">
        <w:rPr>
          <w:lang w:val="x-none"/>
        </w:rPr>
        <w:t>in this publication. To the extent permitted by law, the Commonwealth disclaims liability to any person or organisation in</w:t>
      </w:r>
      <w:r>
        <w:rPr>
          <w:lang w:val="en-US"/>
        </w:rPr>
        <w:t xml:space="preserve"> </w:t>
      </w:r>
      <w:r w:rsidRPr="000E5674">
        <w:rPr>
          <w:lang w:val="x-none"/>
        </w:rPr>
        <w:t>respect of anything done, or omitted to be done, in reliance upon information contained in this publication.</w:t>
      </w:r>
    </w:p>
    <w:p w14:paraId="164D5752" w14:textId="77777777" w:rsidR="002D01AA" w:rsidRDefault="002D01AA" w:rsidP="002D01AA">
      <w:pPr>
        <w:pStyle w:val="ImprintHeading"/>
        <w:spacing w:before="120" w:after="80"/>
        <w:rPr>
          <w:lang w:val="en-AU"/>
        </w:rPr>
      </w:pPr>
      <w:r>
        <w:rPr>
          <w:lang w:val="en-AU"/>
        </w:rPr>
        <w:t>Creative Commons licence</w:t>
      </w:r>
    </w:p>
    <w:p w14:paraId="301BB0D8" w14:textId="77777777" w:rsidR="002D01AA" w:rsidRDefault="002D01AA" w:rsidP="00870A51">
      <w:r>
        <w:rPr>
          <w:noProof/>
        </w:rPr>
        <w:drawing>
          <wp:inline distT="0" distB="0" distL="0" distR="0" wp14:anchorId="54CF9F8B" wp14:editId="79A6C691">
            <wp:extent cx="1007927" cy="352649"/>
            <wp:effectExtent l="0" t="0" r="1905" b="9525"/>
            <wp:docPr id="1" name="Picture 1"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irrors.creativecommons.org/presskit/buttons/88x31/png/by.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29741" cy="360281"/>
                    </a:xfrm>
                    <a:prstGeom prst="rect">
                      <a:avLst/>
                    </a:prstGeom>
                    <a:noFill/>
                    <a:ln>
                      <a:noFill/>
                    </a:ln>
                  </pic:spPr>
                </pic:pic>
              </a:graphicData>
            </a:graphic>
          </wp:inline>
        </w:drawing>
      </w:r>
    </w:p>
    <w:p w14:paraId="315C0FF5" w14:textId="7193C7D5" w:rsidR="002D01AA" w:rsidRDefault="002D01AA" w:rsidP="002D01AA">
      <w:r w:rsidRPr="00650DDB">
        <w:t>With the exception of (a) the Coat of Arms; (b) the Department of Infrastructure, Transport, Regional Development, Communications</w:t>
      </w:r>
      <w:r w:rsidR="002C78B6">
        <w:t>, Sport</w:t>
      </w:r>
      <w:r w:rsidRPr="00650DDB">
        <w:t xml:space="preserve"> and the Arts photos and graphics; (c) content supplied by third parties; (d) content otherwise labelled; copyright in this publication is licensed under a Creative Commons BY Attribution 4.0 International Licence.</w:t>
      </w:r>
    </w:p>
    <w:p w14:paraId="33DCFA67" w14:textId="77777777" w:rsidR="002D01AA" w:rsidRPr="000E5674" w:rsidRDefault="002D01AA" w:rsidP="002D01AA">
      <w:pPr>
        <w:pStyle w:val="ImprintHeading"/>
        <w:spacing w:before="120" w:after="80"/>
      </w:pPr>
      <w:r w:rsidRPr="000E5674">
        <w:t>Use of the Coat of Arms</w:t>
      </w:r>
    </w:p>
    <w:p w14:paraId="3F7F1770" w14:textId="62C4EFF6" w:rsidR="002D01AA" w:rsidRPr="000E5674" w:rsidRDefault="002D01AA" w:rsidP="002D01AA">
      <w:pPr>
        <w:spacing w:before="120"/>
        <w:rPr>
          <w:lang w:val="x-none"/>
        </w:rPr>
      </w:pPr>
      <w:r w:rsidRPr="000E5674">
        <w:rPr>
          <w:lang w:val="x-none"/>
        </w:rPr>
        <w:t>The Department of the Prime Minister and Cabinet sets the terms under which the Coat of Arms is used. Please refer to</w:t>
      </w:r>
      <w:r>
        <w:rPr>
          <w:lang w:val="en-US"/>
        </w:rPr>
        <w:t xml:space="preserve"> </w:t>
      </w:r>
      <w:r w:rsidRPr="000E5674">
        <w:rPr>
          <w:lang w:val="x-none"/>
        </w:rPr>
        <w:t xml:space="preserve">the Commonwealth Coat of Arms - Information and Guidelines publication available at </w:t>
      </w:r>
      <w:hyperlink r:id="rId19" w:tooltip="Department of Prime Minister and Cabinet website" w:history="1">
        <w:r w:rsidRPr="0063722A">
          <w:rPr>
            <w:rStyle w:val="Hyperlink"/>
            <w:lang w:val="x-none"/>
          </w:rPr>
          <w:t>http://www.pmc.gov.au</w:t>
        </w:r>
      </w:hyperlink>
      <w:r w:rsidRPr="000E5674">
        <w:rPr>
          <w:lang w:val="x-none"/>
        </w:rPr>
        <w:t>.</w:t>
      </w:r>
    </w:p>
    <w:p w14:paraId="07BE0D81" w14:textId="77777777" w:rsidR="00C81989" w:rsidRPr="000E5674" w:rsidRDefault="00C81989" w:rsidP="00C81989">
      <w:pPr>
        <w:pStyle w:val="ImprintHeading"/>
        <w:spacing w:before="120" w:after="80"/>
      </w:pPr>
      <w:r w:rsidRPr="000E5674">
        <w:t>Contact us</w:t>
      </w:r>
    </w:p>
    <w:p w14:paraId="2118D127" w14:textId="77777777" w:rsidR="00C81989" w:rsidRDefault="00C81989" w:rsidP="00C81989">
      <w:pPr>
        <w:spacing w:before="120"/>
        <w:rPr>
          <w:lang w:val="x-none"/>
        </w:rPr>
      </w:pPr>
      <w:r w:rsidRPr="000E5674">
        <w:rPr>
          <w:lang w:val="x-none"/>
        </w:rPr>
        <w:t>This publication is available in</w:t>
      </w:r>
      <w:r>
        <w:t xml:space="preserve"> hard copy, word document, and PD</w:t>
      </w:r>
      <w:r w:rsidRPr="006244C6">
        <w:t>F</w:t>
      </w:r>
      <w:r w:rsidRPr="00F552C6">
        <w:rPr>
          <w:lang w:val="x-none"/>
        </w:rPr>
        <w:t>.</w:t>
      </w:r>
      <w:r w:rsidRPr="000E5674">
        <w:rPr>
          <w:lang w:val="x-none"/>
        </w:rPr>
        <w:t xml:space="preserve"> All other rights are reserved, including in relation to any</w:t>
      </w:r>
      <w:r>
        <w:rPr>
          <w:lang w:val="en-US"/>
        </w:rPr>
        <w:t xml:space="preserve"> departmental</w:t>
      </w:r>
      <w:r w:rsidRPr="000E5674">
        <w:rPr>
          <w:lang w:val="x-none"/>
        </w:rPr>
        <w:t xml:space="preserve"> logos or trademarks which may exist. For enquiries regarding the licence and any use of this publication,</w:t>
      </w:r>
      <w:r>
        <w:rPr>
          <w:lang w:val="en-US"/>
        </w:rPr>
        <w:t xml:space="preserve"> </w:t>
      </w:r>
      <w:r w:rsidRPr="000E5674">
        <w:rPr>
          <w:lang w:val="x-none"/>
        </w:rPr>
        <w:t>please contact:</w:t>
      </w:r>
    </w:p>
    <w:p w14:paraId="501C7CFD" w14:textId="2A9040FA" w:rsidR="00C81989" w:rsidRPr="00F552C6" w:rsidRDefault="00C81989" w:rsidP="00C81989">
      <w:pPr>
        <w:spacing w:before="120"/>
        <w:rPr>
          <w:b/>
        </w:rPr>
      </w:pPr>
      <w:r w:rsidRPr="00F552C6">
        <w:rPr>
          <w:b/>
        </w:rPr>
        <w:t xml:space="preserve">Freight </w:t>
      </w:r>
      <w:r w:rsidR="00CB4CD8">
        <w:rPr>
          <w:b/>
        </w:rPr>
        <w:t>Policy</w:t>
      </w:r>
      <w:r>
        <w:rPr>
          <w:b/>
        </w:rPr>
        <w:t xml:space="preserve"> Team</w:t>
      </w:r>
      <w:r w:rsidRPr="00F552C6">
        <w:rPr>
          <w:b/>
        </w:rPr>
        <w:t>, Land Transport Policy Branch</w:t>
      </w:r>
    </w:p>
    <w:p w14:paraId="6FF3DC1C" w14:textId="68C6067B" w:rsidR="00C81989" w:rsidRDefault="00C81989" w:rsidP="00C81989">
      <w:pPr>
        <w:spacing w:before="120"/>
      </w:pPr>
      <w:r>
        <w:t>Department of Infrastructure, Transport, Regional Development, Communications</w:t>
      </w:r>
      <w:r w:rsidR="002C78B6">
        <w:t>, Sport</w:t>
      </w:r>
      <w:r>
        <w:t xml:space="preserve"> and the Arts </w:t>
      </w:r>
    </w:p>
    <w:p w14:paraId="79501514" w14:textId="77777777" w:rsidR="00C81989" w:rsidRDefault="00C81989" w:rsidP="00C81989">
      <w:pPr>
        <w:spacing w:before="120"/>
      </w:pPr>
      <w:r>
        <w:t xml:space="preserve">GPO Box 594, Canberra ACT 2601 Australia </w:t>
      </w:r>
    </w:p>
    <w:p w14:paraId="1045AAA9" w14:textId="3836A029" w:rsidR="00C81989" w:rsidRDefault="00C81989" w:rsidP="00C81989">
      <w:pPr>
        <w:spacing w:before="120"/>
      </w:pPr>
      <w:r>
        <w:t xml:space="preserve">Email: </w:t>
      </w:r>
      <w:hyperlink r:id="rId20" w:history="1">
        <w:r w:rsidRPr="00247DCD">
          <w:rPr>
            <w:rStyle w:val="Hyperlink"/>
          </w:rPr>
          <w:t>freightstrategy@infrastructure.gov.au</w:t>
        </w:r>
      </w:hyperlink>
    </w:p>
    <w:p w14:paraId="618A09D0" w14:textId="22AB1F09" w:rsidR="00546218" w:rsidRDefault="00C81989" w:rsidP="00C81989">
      <w:pPr>
        <w:suppressAutoHyphens w:val="0"/>
        <w:spacing w:before="120"/>
      </w:pPr>
      <w:r>
        <w:t xml:space="preserve">Website: </w:t>
      </w:r>
      <w:hyperlink r:id="rId21" w:history="1">
        <w:r w:rsidRPr="00247DCD">
          <w:rPr>
            <w:rStyle w:val="Hyperlink"/>
          </w:rPr>
          <w:t>www.freightaustralia.gov.au</w:t>
        </w:r>
      </w:hyperlink>
      <w:r w:rsidR="002D01AA">
        <w:t xml:space="preserve"> </w:t>
      </w:r>
      <w:r w:rsidR="00546218">
        <w:br w:type="page"/>
      </w:r>
    </w:p>
    <w:p w14:paraId="07A76BC0" w14:textId="77777777" w:rsidR="00DE4FE2" w:rsidRDefault="002B7197" w:rsidP="00CF6CFD">
      <w:pPr>
        <w:pStyle w:val="TOCHeading"/>
      </w:pPr>
      <w:bookmarkStart w:id="2" w:name="_Toc187333611"/>
      <w:r>
        <w:lastRenderedPageBreak/>
        <w:t>Table of C</w:t>
      </w:r>
      <w:r w:rsidR="00DE4FE2">
        <w:t>ontents</w:t>
      </w:r>
      <w:bookmarkEnd w:id="2"/>
    </w:p>
    <w:p w14:paraId="0BB625C6" w14:textId="2476CBC0" w:rsidR="000272DA" w:rsidRDefault="00E45193">
      <w:pPr>
        <w:pStyle w:val="TOC1"/>
        <w:rPr>
          <w:rFonts w:eastAsiaTheme="minorEastAsia"/>
          <w:b w:val="0"/>
          <w:noProof/>
          <w:color w:val="auto"/>
          <w:sz w:val="22"/>
          <w:u w:val="none"/>
          <w:lang w:eastAsia="en-AU"/>
        </w:rPr>
      </w:pPr>
      <w:r>
        <w:rPr>
          <w:b w:val="0"/>
        </w:rPr>
        <w:fldChar w:fldCharType="begin"/>
      </w:r>
      <w:r>
        <w:rPr>
          <w:b w:val="0"/>
        </w:rPr>
        <w:instrText xml:space="preserve"> TOC \o "1-1" \h \z \u </w:instrText>
      </w:r>
      <w:r>
        <w:rPr>
          <w:b w:val="0"/>
        </w:rPr>
        <w:fldChar w:fldCharType="separate"/>
      </w:r>
      <w:hyperlink w:anchor="_Toc187333611" w:history="1">
        <w:r w:rsidR="000272DA" w:rsidRPr="00841270">
          <w:rPr>
            <w:rStyle w:val="Hyperlink"/>
            <w:noProof/>
          </w:rPr>
          <w:t>Table of Contents</w:t>
        </w:r>
        <w:r w:rsidR="000272DA">
          <w:rPr>
            <w:noProof/>
            <w:webHidden/>
          </w:rPr>
          <w:tab/>
        </w:r>
        <w:r w:rsidR="000272DA">
          <w:rPr>
            <w:noProof/>
            <w:webHidden/>
          </w:rPr>
          <w:fldChar w:fldCharType="begin"/>
        </w:r>
        <w:r w:rsidR="000272DA">
          <w:rPr>
            <w:noProof/>
            <w:webHidden/>
          </w:rPr>
          <w:instrText xml:space="preserve"> PAGEREF _Toc187333611 \h </w:instrText>
        </w:r>
        <w:r w:rsidR="000272DA">
          <w:rPr>
            <w:noProof/>
            <w:webHidden/>
          </w:rPr>
        </w:r>
        <w:r w:rsidR="000272DA">
          <w:rPr>
            <w:noProof/>
            <w:webHidden/>
          </w:rPr>
          <w:fldChar w:fldCharType="separate"/>
        </w:r>
        <w:r w:rsidR="000272DA">
          <w:rPr>
            <w:noProof/>
            <w:webHidden/>
          </w:rPr>
          <w:t>3</w:t>
        </w:r>
        <w:r w:rsidR="000272DA">
          <w:rPr>
            <w:noProof/>
            <w:webHidden/>
          </w:rPr>
          <w:fldChar w:fldCharType="end"/>
        </w:r>
      </w:hyperlink>
    </w:p>
    <w:p w14:paraId="65D3DD5E" w14:textId="4C849417" w:rsidR="000272DA" w:rsidRDefault="00BB7C94">
      <w:pPr>
        <w:pStyle w:val="TOC1"/>
        <w:rPr>
          <w:rFonts w:eastAsiaTheme="minorEastAsia"/>
          <w:b w:val="0"/>
          <w:noProof/>
          <w:color w:val="auto"/>
          <w:sz w:val="22"/>
          <w:u w:val="none"/>
          <w:lang w:eastAsia="en-AU"/>
        </w:rPr>
      </w:pPr>
      <w:hyperlink w:anchor="_Toc187333612" w:history="1">
        <w:r w:rsidR="000272DA" w:rsidRPr="00841270">
          <w:rPr>
            <w:rStyle w:val="Hyperlink"/>
            <w:noProof/>
          </w:rPr>
          <w:t>Acknowledgement of Country</w:t>
        </w:r>
        <w:r w:rsidR="000272DA">
          <w:rPr>
            <w:noProof/>
            <w:webHidden/>
          </w:rPr>
          <w:tab/>
        </w:r>
        <w:r w:rsidR="000272DA">
          <w:rPr>
            <w:noProof/>
            <w:webHidden/>
          </w:rPr>
          <w:fldChar w:fldCharType="begin"/>
        </w:r>
        <w:r w:rsidR="000272DA">
          <w:rPr>
            <w:noProof/>
            <w:webHidden/>
          </w:rPr>
          <w:instrText xml:space="preserve"> PAGEREF _Toc187333612 \h </w:instrText>
        </w:r>
        <w:r w:rsidR="000272DA">
          <w:rPr>
            <w:noProof/>
            <w:webHidden/>
          </w:rPr>
        </w:r>
        <w:r w:rsidR="000272DA">
          <w:rPr>
            <w:noProof/>
            <w:webHidden/>
          </w:rPr>
          <w:fldChar w:fldCharType="separate"/>
        </w:r>
        <w:r w:rsidR="000272DA">
          <w:rPr>
            <w:noProof/>
            <w:webHidden/>
          </w:rPr>
          <w:t>4</w:t>
        </w:r>
        <w:r w:rsidR="000272DA">
          <w:rPr>
            <w:noProof/>
            <w:webHidden/>
          </w:rPr>
          <w:fldChar w:fldCharType="end"/>
        </w:r>
      </w:hyperlink>
    </w:p>
    <w:p w14:paraId="0BE04115" w14:textId="7DCD6532" w:rsidR="000272DA" w:rsidRDefault="00BB7C94">
      <w:pPr>
        <w:pStyle w:val="TOC1"/>
        <w:rPr>
          <w:rFonts w:eastAsiaTheme="minorEastAsia"/>
          <w:b w:val="0"/>
          <w:noProof/>
          <w:color w:val="auto"/>
          <w:sz w:val="22"/>
          <w:u w:val="none"/>
          <w:lang w:eastAsia="en-AU"/>
        </w:rPr>
      </w:pPr>
      <w:hyperlink w:anchor="_Toc187333613" w:history="1">
        <w:r w:rsidR="000272DA" w:rsidRPr="00841270">
          <w:rPr>
            <w:rStyle w:val="Hyperlink"/>
            <w:noProof/>
          </w:rPr>
          <w:t>Introduction</w:t>
        </w:r>
        <w:r w:rsidR="000272DA">
          <w:rPr>
            <w:noProof/>
            <w:webHidden/>
          </w:rPr>
          <w:tab/>
        </w:r>
        <w:r w:rsidR="000272DA">
          <w:rPr>
            <w:noProof/>
            <w:webHidden/>
          </w:rPr>
          <w:fldChar w:fldCharType="begin"/>
        </w:r>
        <w:r w:rsidR="000272DA">
          <w:rPr>
            <w:noProof/>
            <w:webHidden/>
          </w:rPr>
          <w:instrText xml:space="preserve"> PAGEREF _Toc187333613 \h </w:instrText>
        </w:r>
        <w:r w:rsidR="000272DA">
          <w:rPr>
            <w:noProof/>
            <w:webHidden/>
          </w:rPr>
        </w:r>
        <w:r w:rsidR="000272DA">
          <w:rPr>
            <w:noProof/>
            <w:webHidden/>
          </w:rPr>
          <w:fldChar w:fldCharType="separate"/>
        </w:r>
        <w:r w:rsidR="000272DA">
          <w:rPr>
            <w:noProof/>
            <w:webHidden/>
          </w:rPr>
          <w:t>5</w:t>
        </w:r>
        <w:r w:rsidR="000272DA">
          <w:rPr>
            <w:noProof/>
            <w:webHidden/>
          </w:rPr>
          <w:fldChar w:fldCharType="end"/>
        </w:r>
      </w:hyperlink>
    </w:p>
    <w:p w14:paraId="352D859E" w14:textId="29A819B7" w:rsidR="000272DA" w:rsidRDefault="00BB7C94">
      <w:pPr>
        <w:pStyle w:val="TOC1"/>
        <w:rPr>
          <w:rFonts w:eastAsiaTheme="minorEastAsia"/>
          <w:b w:val="0"/>
          <w:noProof/>
          <w:color w:val="auto"/>
          <w:sz w:val="22"/>
          <w:u w:val="none"/>
          <w:lang w:eastAsia="en-AU"/>
        </w:rPr>
      </w:pPr>
      <w:hyperlink w:anchor="_Toc187333614" w:history="1">
        <w:r w:rsidR="000272DA" w:rsidRPr="00841270">
          <w:rPr>
            <w:rStyle w:val="Hyperlink"/>
            <w:noProof/>
          </w:rPr>
          <w:t>Summary of Actions</w:t>
        </w:r>
        <w:r w:rsidR="000272DA">
          <w:rPr>
            <w:noProof/>
            <w:webHidden/>
          </w:rPr>
          <w:tab/>
        </w:r>
        <w:r w:rsidR="000272DA">
          <w:rPr>
            <w:noProof/>
            <w:webHidden/>
          </w:rPr>
          <w:fldChar w:fldCharType="begin"/>
        </w:r>
        <w:r w:rsidR="000272DA">
          <w:rPr>
            <w:noProof/>
            <w:webHidden/>
          </w:rPr>
          <w:instrText xml:space="preserve"> PAGEREF _Toc187333614 \h </w:instrText>
        </w:r>
        <w:r w:rsidR="000272DA">
          <w:rPr>
            <w:noProof/>
            <w:webHidden/>
          </w:rPr>
        </w:r>
        <w:r w:rsidR="000272DA">
          <w:rPr>
            <w:noProof/>
            <w:webHidden/>
          </w:rPr>
          <w:fldChar w:fldCharType="separate"/>
        </w:r>
        <w:r w:rsidR="000272DA">
          <w:rPr>
            <w:noProof/>
            <w:webHidden/>
          </w:rPr>
          <w:t>7</w:t>
        </w:r>
        <w:r w:rsidR="000272DA">
          <w:rPr>
            <w:noProof/>
            <w:webHidden/>
          </w:rPr>
          <w:fldChar w:fldCharType="end"/>
        </w:r>
      </w:hyperlink>
    </w:p>
    <w:p w14:paraId="2E6BC0B6" w14:textId="1E67D9A9" w:rsidR="000272DA" w:rsidRDefault="00BB7C94">
      <w:pPr>
        <w:pStyle w:val="TOC1"/>
        <w:rPr>
          <w:rFonts w:eastAsiaTheme="minorEastAsia"/>
          <w:b w:val="0"/>
          <w:noProof/>
          <w:color w:val="auto"/>
          <w:sz w:val="22"/>
          <w:u w:val="none"/>
          <w:lang w:eastAsia="en-AU"/>
        </w:rPr>
      </w:pPr>
      <w:hyperlink w:anchor="_Toc187333615" w:history="1">
        <w:r w:rsidR="000272DA" w:rsidRPr="00841270">
          <w:rPr>
            <w:rStyle w:val="Hyperlink"/>
            <w:noProof/>
          </w:rPr>
          <w:t>1. Productivity</w:t>
        </w:r>
        <w:r w:rsidR="000272DA">
          <w:rPr>
            <w:noProof/>
            <w:webHidden/>
          </w:rPr>
          <w:tab/>
        </w:r>
        <w:r w:rsidR="000272DA">
          <w:rPr>
            <w:noProof/>
            <w:webHidden/>
          </w:rPr>
          <w:fldChar w:fldCharType="begin"/>
        </w:r>
        <w:r w:rsidR="000272DA">
          <w:rPr>
            <w:noProof/>
            <w:webHidden/>
          </w:rPr>
          <w:instrText xml:space="preserve"> PAGEREF _Toc187333615 \h </w:instrText>
        </w:r>
        <w:r w:rsidR="000272DA">
          <w:rPr>
            <w:noProof/>
            <w:webHidden/>
          </w:rPr>
        </w:r>
        <w:r w:rsidR="000272DA">
          <w:rPr>
            <w:noProof/>
            <w:webHidden/>
          </w:rPr>
          <w:fldChar w:fldCharType="separate"/>
        </w:r>
        <w:r w:rsidR="000272DA">
          <w:rPr>
            <w:noProof/>
            <w:webHidden/>
          </w:rPr>
          <w:t>11</w:t>
        </w:r>
        <w:r w:rsidR="000272DA">
          <w:rPr>
            <w:noProof/>
            <w:webHidden/>
          </w:rPr>
          <w:fldChar w:fldCharType="end"/>
        </w:r>
      </w:hyperlink>
    </w:p>
    <w:p w14:paraId="76CCD670" w14:textId="10DF53EA" w:rsidR="000272DA" w:rsidRDefault="00BB7C94">
      <w:pPr>
        <w:pStyle w:val="TOC1"/>
        <w:rPr>
          <w:rFonts w:eastAsiaTheme="minorEastAsia"/>
          <w:b w:val="0"/>
          <w:noProof/>
          <w:color w:val="auto"/>
          <w:sz w:val="22"/>
          <w:u w:val="none"/>
          <w:lang w:eastAsia="en-AU"/>
        </w:rPr>
      </w:pPr>
      <w:hyperlink w:anchor="_Toc187333616" w:history="1">
        <w:r w:rsidR="000272DA" w:rsidRPr="00841270">
          <w:rPr>
            <w:rStyle w:val="Hyperlink"/>
            <w:noProof/>
          </w:rPr>
          <w:t>2. Resilience</w:t>
        </w:r>
        <w:r w:rsidR="000272DA">
          <w:rPr>
            <w:noProof/>
            <w:webHidden/>
          </w:rPr>
          <w:tab/>
        </w:r>
        <w:r w:rsidR="000272DA">
          <w:rPr>
            <w:noProof/>
            <w:webHidden/>
          </w:rPr>
          <w:fldChar w:fldCharType="begin"/>
        </w:r>
        <w:r w:rsidR="000272DA">
          <w:rPr>
            <w:noProof/>
            <w:webHidden/>
          </w:rPr>
          <w:instrText xml:space="preserve"> PAGEREF _Toc187333616 \h </w:instrText>
        </w:r>
        <w:r w:rsidR="000272DA">
          <w:rPr>
            <w:noProof/>
            <w:webHidden/>
          </w:rPr>
        </w:r>
        <w:r w:rsidR="000272DA">
          <w:rPr>
            <w:noProof/>
            <w:webHidden/>
          </w:rPr>
          <w:fldChar w:fldCharType="separate"/>
        </w:r>
        <w:r w:rsidR="000272DA">
          <w:rPr>
            <w:noProof/>
            <w:webHidden/>
          </w:rPr>
          <w:t>13</w:t>
        </w:r>
        <w:r w:rsidR="000272DA">
          <w:rPr>
            <w:noProof/>
            <w:webHidden/>
          </w:rPr>
          <w:fldChar w:fldCharType="end"/>
        </w:r>
      </w:hyperlink>
    </w:p>
    <w:p w14:paraId="2B4B7C1A" w14:textId="4DE11A2F" w:rsidR="000272DA" w:rsidRDefault="00BB7C94">
      <w:pPr>
        <w:pStyle w:val="TOC1"/>
        <w:rPr>
          <w:rFonts w:eastAsiaTheme="minorEastAsia"/>
          <w:b w:val="0"/>
          <w:noProof/>
          <w:color w:val="auto"/>
          <w:sz w:val="22"/>
          <w:u w:val="none"/>
          <w:lang w:eastAsia="en-AU"/>
        </w:rPr>
      </w:pPr>
      <w:hyperlink w:anchor="_Toc187333617" w:history="1">
        <w:r w:rsidR="000272DA" w:rsidRPr="00841270">
          <w:rPr>
            <w:rStyle w:val="Hyperlink"/>
            <w:noProof/>
          </w:rPr>
          <w:t>3. Decarbonisation</w:t>
        </w:r>
        <w:r w:rsidR="000272DA">
          <w:rPr>
            <w:noProof/>
            <w:webHidden/>
          </w:rPr>
          <w:tab/>
        </w:r>
        <w:r w:rsidR="000272DA">
          <w:rPr>
            <w:noProof/>
            <w:webHidden/>
          </w:rPr>
          <w:fldChar w:fldCharType="begin"/>
        </w:r>
        <w:r w:rsidR="000272DA">
          <w:rPr>
            <w:noProof/>
            <w:webHidden/>
          </w:rPr>
          <w:instrText xml:space="preserve"> PAGEREF _Toc187333617 \h </w:instrText>
        </w:r>
        <w:r w:rsidR="000272DA">
          <w:rPr>
            <w:noProof/>
            <w:webHidden/>
          </w:rPr>
        </w:r>
        <w:r w:rsidR="000272DA">
          <w:rPr>
            <w:noProof/>
            <w:webHidden/>
          </w:rPr>
          <w:fldChar w:fldCharType="separate"/>
        </w:r>
        <w:r w:rsidR="000272DA">
          <w:rPr>
            <w:noProof/>
            <w:webHidden/>
          </w:rPr>
          <w:t>15</w:t>
        </w:r>
        <w:r w:rsidR="000272DA">
          <w:rPr>
            <w:noProof/>
            <w:webHidden/>
          </w:rPr>
          <w:fldChar w:fldCharType="end"/>
        </w:r>
      </w:hyperlink>
    </w:p>
    <w:p w14:paraId="09E4BD34" w14:textId="2B578738" w:rsidR="000272DA" w:rsidRDefault="00BB7C94">
      <w:pPr>
        <w:pStyle w:val="TOC1"/>
        <w:rPr>
          <w:rFonts w:eastAsiaTheme="minorEastAsia"/>
          <w:b w:val="0"/>
          <w:noProof/>
          <w:color w:val="auto"/>
          <w:sz w:val="22"/>
          <w:u w:val="none"/>
          <w:lang w:eastAsia="en-AU"/>
        </w:rPr>
      </w:pPr>
      <w:hyperlink w:anchor="_Toc187333618" w:history="1">
        <w:r w:rsidR="000272DA" w:rsidRPr="00841270">
          <w:rPr>
            <w:rStyle w:val="Hyperlink"/>
            <w:noProof/>
          </w:rPr>
          <w:t>4. Data</w:t>
        </w:r>
        <w:r w:rsidR="000272DA">
          <w:rPr>
            <w:noProof/>
            <w:webHidden/>
          </w:rPr>
          <w:tab/>
        </w:r>
        <w:r w:rsidR="000272DA">
          <w:rPr>
            <w:noProof/>
            <w:webHidden/>
          </w:rPr>
          <w:fldChar w:fldCharType="begin"/>
        </w:r>
        <w:r w:rsidR="000272DA">
          <w:rPr>
            <w:noProof/>
            <w:webHidden/>
          </w:rPr>
          <w:instrText xml:space="preserve"> PAGEREF _Toc187333618 \h </w:instrText>
        </w:r>
        <w:r w:rsidR="000272DA">
          <w:rPr>
            <w:noProof/>
            <w:webHidden/>
          </w:rPr>
        </w:r>
        <w:r w:rsidR="000272DA">
          <w:rPr>
            <w:noProof/>
            <w:webHidden/>
          </w:rPr>
          <w:fldChar w:fldCharType="separate"/>
        </w:r>
        <w:r w:rsidR="000272DA">
          <w:rPr>
            <w:noProof/>
            <w:webHidden/>
          </w:rPr>
          <w:t>17</w:t>
        </w:r>
        <w:r w:rsidR="000272DA">
          <w:rPr>
            <w:noProof/>
            <w:webHidden/>
          </w:rPr>
          <w:fldChar w:fldCharType="end"/>
        </w:r>
      </w:hyperlink>
    </w:p>
    <w:p w14:paraId="2E11EC61" w14:textId="1AF38807" w:rsidR="00DE4FE2" w:rsidRDefault="00E45193">
      <w:r>
        <w:rPr>
          <w:b/>
          <w:sz w:val="24"/>
          <w:u w:val="single" w:color="008089" w:themeColor="accent2"/>
        </w:rPr>
        <w:fldChar w:fldCharType="end"/>
      </w:r>
    </w:p>
    <w:p w14:paraId="7ADE570C" w14:textId="77777777" w:rsidR="005912BE" w:rsidRPr="00C3007A" w:rsidRDefault="005912BE" w:rsidP="00C3007A">
      <w:pPr>
        <w:tabs>
          <w:tab w:val="center" w:pos="4932"/>
        </w:tabs>
        <w:sectPr w:rsidR="005912BE" w:rsidRPr="00C3007A" w:rsidSect="00BA24FB">
          <w:headerReference w:type="default" r:id="rId22"/>
          <w:footerReference w:type="default" r:id="rId23"/>
          <w:pgSz w:w="11906" w:h="16838" w:code="9"/>
          <w:pgMar w:top="1021" w:right="1021" w:bottom="1021" w:left="1021" w:header="340" w:footer="397" w:gutter="0"/>
          <w:cols w:space="708"/>
          <w:docGrid w:linePitch="360"/>
        </w:sectPr>
      </w:pPr>
    </w:p>
    <w:p w14:paraId="3EBE6B02" w14:textId="77777777" w:rsidR="005F794B" w:rsidRPr="005F794B" w:rsidRDefault="0097445C" w:rsidP="00DE4362">
      <w:pPr>
        <w:pStyle w:val="Heading1"/>
        <w:spacing w:before="0"/>
      </w:pPr>
      <w:bookmarkStart w:id="3" w:name="_Toc187333612"/>
      <w:r>
        <w:lastRenderedPageBreak/>
        <w:t>Acknowledgement of Country</w:t>
      </w:r>
      <w:bookmarkEnd w:id="3"/>
    </w:p>
    <w:p w14:paraId="2A1C0B1D" w14:textId="77777777" w:rsidR="0097445C" w:rsidRDefault="0097445C" w:rsidP="0097445C">
      <w:pPr>
        <w:pStyle w:val="Introduction"/>
      </w:pPr>
      <w:r>
        <w:t>“Aboriginal and Torres Strait Islander peoples, as part of the world’s oldest living culture, have successfully managed the lands and resources across Australia for over 65,000 years.”</w:t>
      </w:r>
    </w:p>
    <w:p w14:paraId="10E313C8" w14:textId="59106D2E" w:rsidR="0097445C" w:rsidRDefault="0097445C" w:rsidP="0097445C">
      <w:r>
        <w:t>We acknowledge First Nations people as the Traditional Owners and Custodians of Australia and the Torres Strait Islands. Their deep-rooted connection to the land and waterways is integral to the nation’s cultural heritage and the sustainable management of resources. Aboriginal and Torres Strait Islander peoples, as part of the world’s oldest living culture, have successfully managed the lands and resources across Australia for over 65,000 years. This enduring relationship with the land provides valuable insights for developing resilient and sustainable supply chains. The ancient trade routes, which followed song lines and ceremonial paths across Aboriginal and Torres Strait Islander lands, highlight the sophisticated systems of trade and communication established by First Nations people over tens of thousands of years. We honour the First Nations peoples of Australia and pay our respects to Elders past and present, acknowledging their contributions to the land and its stewardship, which continue to inspire sustainable practices within the national freight and supply chain framework.</w:t>
      </w:r>
    </w:p>
    <w:p w14:paraId="727A94A1" w14:textId="50032A17" w:rsidR="005408CE" w:rsidRDefault="005408CE">
      <w:pPr>
        <w:suppressAutoHyphens w:val="0"/>
        <w:rPr>
          <w:color w:val="49515C"/>
          <w:sz w:val="30"/>
          <w:szCs w:val="30"/>
        </w:rPr>
      </w:pPr>
    </w:p>
    <w:p w14:paraId="63A4CE6F" w14:textId="0DF30F99" w:rsidR="005408CE" w:rsidRDefault="005408CE">
      <w:pPr>
        <w:suppressAutoHyphens w:val="0"/>
        <w:rPr>
          <w:color w:val="49515C"/>
          <w:sz w:val="30"/>
          <w:szCs w:val="30"/>
        </w:rPr>
      </w:pPr>
      <w:r>
        <w:rPr>
          <w:color w:val="49515C"/>
          <w:sz w:val="30"/>
          <w:szCs w:val="30"/>
        </w:rPr>
        <w:br w:type="page"/>
      </w:r>
    </w:p>
    <w:p w14:paraId="44907288" w14:textId="77777777" w:rsidR="005408CE" w:rsidRDefault="00533744" w:rsidP="00EA2570">
      <w:pPr>
        <w:pStyle w:val="Heading1"/>
      </w:pPr>
      <w:bookmarkStart w:id="4" w:name="_Toc187333613"/>
      <w:r>
        <w:lastRenderedPageBreak/>
        <w:t>Introduction</w:t>
      </w:r>
      <w:bookmarkEnd w:id="4"/>
    </w:p>
    <w:p w14:paraId="7486AF0F" w14:textId="77777777" w:rsidR="00533744" w:rsidRDefault="00533744" w:rsidP="00533744">
      <w:pPr>
        <w:rPr>
          <w:lang w:val="en-US"/>
        </w:rPr>
      </w:pPr>
      <w:r>
        <w:rPr>
          <w:lang w:val="en-US"/>
        </w:rPr>
        <w:t xml:space="preserve">The National Freight and Supply Chain Strategy (Strategy) sets the agenda for a collaborative approach to deliver government action across all freight modes. The Strategy aims to ensure freight and supply chains continue to provide reliable access to vital goods and materials from across the globe, as well as support valuable export supply chains that are vital to Australia’s economy. </w:t>
      </w:r>
    </w:p>
    <w:p w14:paraId="27128A7B" w14:textId="31DD590E" w:rsidR="00533744" w:rsidRDefault="00533744" w:rsidP="00997A1B">
      <w:r>
        <w:t>This National Action Plan (Action Plan) sits alongside the Strategy and details key actions to be delivered by governments to achieve the goals of the Strategy. The Action Plan is informed by the priorities of all governments and the freight and supply chain sector and will focus on four National Priority Action Areas. In addition, safety is recognised as a cross-cutting issue. The safety of workers is at the forefront in all freight operations.</w:t>
      </w:r>
    </w:p>
    <w:p w14:paraId="556FA713" w14:textId="7523564F" w:rsidR="00A66A80" w:rsidRDefault="00997A1B" w:rsidP="000272DA">
      <w:pPr>
        <w:tabs>
          <w:tab w:val="left" w:pos="1276"/>
        </w:tabs>
        <w:ind w:left="1276" w:hanging="1276"/>
        <w:rPr>
          <w:rFonts w:asciiTheme="majorHAnsi" w:eastAsiaTheme="majorEastAsia" w:hAnsiTheme="majorHAnsi" w:cstheme="majorBidi"/>
          <w:b/>
          <w:iCs/>
          <w:color w:val="49515C" w:themeColor="accent4" w:themeShade="80"/>
          <w:sz w:val="26"/>
        </w:rPr>
      </w:pPr>
      <w:r>
        <w:rPr>
          <w:noProof/>
        </w:rPr>
        <w:drawing>
          <wp:inline distT="0" distB="0" distL="0" distR="0" wp14:anchorId="2AF924E9" wp14:editId="6864FA65">
            <wp:extent cx="3212327" cy="3291871"/>
            <wp:effectExtent l="0" t="0" r="7620" b="3810"/>
            <wp:docPr id="19" name="Picture 19" descr="The National Priority Action Areas are: Productivity, Resilience, Decarbonisation and Data. Safety is also recognised as a cross-cutting issu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246194" cy="3326577"/>
                    </a:xfrm>
                    <a:prstGeom prst="rect">
                      <a:avLst/>
                    </a:prstGeom>
                  </pic:spPr>
                </pic:pic>
              </a:graphicData>
            </a:graphic>
          </wp:inline>
        </w:drawing>
      </w:r>
    </w:p>
    <w:p w14:paraId="3434BCC7" w14:textId="0560285F" w:rsidR="00EA2570" w:rsidRPr="00B52907" w:rsidRDefault="00EA2570" w:rsidP="00EA2570">
      <w:pPr>
        <w:spacing w:after="0"/>
        <w:rPr>
          <w:rFonts w:ascii="Times New Roman" w:hAnsi="Times New Roman" w:cs="Times New Roman"/>
          <w:sz w:val="24"/>
          <w:szCs w:val="24"/>
          <w:lang w:eastAsia="en-AU"/>
        </w:rPr>
      </w:pPr>
      <w:r>
        <w:t xml:space="preserve">The actions contained in this Action Plan will help ensure future investment decision making is informed by a strong evidence base. The Action Plan sets out </w:t>
      </w:r>
      <w:r w:rsidRPr="008849DB">
        <w:t>1</w:t>
      </w:r>
      <w:r>
        <w:t>4</w:t>
      </w:r>
      <w:r w:rsidRPr="008849DB">
        <w:t xml:space="preserve"> actions</w:t>
      </w:r>
      <w:r>
        <w:t xml:space="preserve"> that will be delivered across these priority areas, many also incorporating safety elements. These actions are nationally significant, requiring the active collaboration of governments and industry to deliver. These actions aim to achieve whole of network and supply chain outcomes. In implementing these actions, governments will consider how to incorporate First Nations perspectives. A comprehensive implementation plan will be developed and published, outlining how these actions will be delivered.</w:t>
      </w:r>
      <w:r>
        <w:br/>
      </w:r>
    </w:p>
    <w:p w14:paraId="663AE71F" w14:textId="77777777" w:rsidR="00EA2570" w:rsidRDefault="00EA2570" w:rsidP="00EA2570">
      <w:r>
        <w:t>While the Strategy and Action Plan are reviewed every five years, the Action Plan will remain a living document over this period. As actions are completed, new ones may be introduced, though the four National Priority Action Areas, together with safety, will remain in place, and be reconsidered at the five-year review.</w:t>
      </w:r>
    </w:p>
    <w:p w14:paraId="7CC17F61" w14:textId="77777777" w:rsidR="00EA2570" w:rsidRDefault="00EA2570">
      <w:pPr>
        <w:suppressAutoHyphens w:val="0"/>
      </w:pPr>
      <w:r>
        <w:br w:type="page"/>
      </w:r>
    </w:p>
    <w:p w14:paraId="4E91B4C5" w14:textId="77777777" w:rsidR="00FD1D56" w:rsidRPr="00201CEB" w:rsidRDefault="00FD1D56" w:rsidP="00201CEB">
      <w:pPr>
        <w:pStyle w:val="Heading1"/>
      </w:pPr>
      <w:bookmarkStart w:id="5" w:name="_Toc187333614"/>
      <w:r w:rsidRPr="00201CEB">
        <w:lastRenderedPageBreak/>
        <w:t>Summary of Actions</w:t>
      </w:r>
      <w:bookmarkEnd w:id="5"/>
    </w:p>
    <w:p w14:paraId="216C6892" w14:textId="5767D65E" w:rsidR="00EB3870" w:rsidRPr="000272DA" w:rsidRDefault="00FD1D56" w:rsidP="000272DA">
      <w:pPr>
        <w:pStyle w:val="Introduction"/>
        <w:spacing w:after="480"/>
        <w:rPr>
          <w:lang w:val="en-AU"/>
        </w:rPr>
      </w:pPr>
      <w:r>
        <w:t>Ensuring the safety of the freight and supply chain industry cuts across all National Priority Action Areas</w:t>
      </w:r>
      <w:r w:rsidR="00B72405">
        <w:rPr>
          <w:lang w:val="en-AU"/>
        </w:rPr>
        <w:t>.</w:t>
      </w:r>
      <w:bookmarkStart w:id="6" w:name="_Hlk178930957"/>
    </w:p>
    <w:p w14:paraId="2048F2F2" w14:textId="71889FEE" w:rsidR="00EE6687" w:rsidRDefault="0028673F" w:rsidP="00201CEB">
      <w:pPr>
        <w:pStyle w:val="Heading2"/>
      </w:pPr>
      <w:r>
        <w:t>Productivity</w:t>
      </w:r>
    </w:p>
    <w:tbl>
      <w:tblPr>
        <w:tblStyle w:val="DefaultTable1"/>
        <w:tblW w:w="0" w:type="auto"/>
        <w:tblLook w:val="04A0" w:firstRow="1" w:lastRow="0" w:firstColumn="1" w:lastColumn="0" w:noHBand="0" w:noVBand="1"/>
      </w:tblPr>
      <w:tblGrid>
        <w:gridCol w:w="3686"/>
        <w:gridCol w:w="1984"/>
        <w:gridCol w:w="2694"/>
        <w:gridCol w:w="1490"/>
      </w:tblGrid>
      <w:tr w:rsidR="00EE6687" w14:paraId="523C0FB5" w14:textId="77777777" w:rsidTr="00EE66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75257245" w14:textId="159B79C7" w:rsidR="00EE6687" w:rsidRDefault="00EE6687">
            <w:r>
              <w:t>Action</w:t>
            </w:r>
          </w:p>
        </w:tc>
        <w:tc>
          <w:tcPr>
            <w:tcW w:w="1984" w:type="dxa"/>
          </w:tcPr>
          <w:p w14:paraId="389DA818" w14:textId="5204477E" w:rsidR="00EE6687" w:rsidRDefault="00EE6687">
            <w:pPr>
              <w:cnfStyle w:val="100000000000" w:firstRow="1" w:lastRow="0" w:firstColumn="0" w:lastColumn="0" w:oddVBand="0" w:evenVBand="0" w:oddHBand="0" w:evenHBand="0" w:firstRowFirstColumn="0" w:firstRowLastColumn="0" w:lastRowFirstColumn="0" w:lastRowLastColumn="0"/>
            </w:pPr>
            <w:r>
              <w:t>Lead</w:t>
            </w:r>
          </w:p>
        </w:tc>
        <w:tc>
          <w:tcPr>
            <w:tcW w:w="2694" w:type="dxa"/>
          </w:tcPr>
          <w:p w14:paraId="13467145" w14:textId="57065A5C" w:rsidR="00EE6687" w:rsidRDefault="00EE6687">
            <w:pPr>
              <w:cnfStyle w:val="100000000000" w:firstRow="1" w:lastRow="0" w:firstColumn="0" w:lastColumn="0" w:oddVBand="0" w:evenVBand="0" w:oddHBand="0" w:evenHBand="0" w:firstRowFirstColumn="0" w:firstRowLastColumn="0" w:lastRowFirstColumn="0" w:lastRowLastColumn="0"/>
            </w:pPr>
            <w:r>
              <w:t>Key Collaborators</w:t>
            </w:r>
          </w:p>
        </w:tc>
        <w:tc>
          <w:tcPr>
            <w:tcW w:w="1490" w:type="dxa"/>
          </w:tcPr>
          <w:p w14:paraId="107421A9" w14:textId="2C3D7B19" w:rsidR="00EE6687" w:rsidRDefault="00EE6687">
            <w:pPr>
              <w:cnfStyle w:val="100000000000" w:firstRow="1" w:lastRow="0" w:firstColumn="0" w:lastColumn="0" w:oddVBand="0" w:evenVBand="0" w:oddHBand="0" w:evenHBand="0" w:firstRowFirstColumn="0" w:firstRowLastColumn="0" w:lastRowFirstColumn="0" w:lastRowLastColumn="0"/>
            </w:pPr>
            <w:r>
              <w:t>Timeframe</w:t>
            </w:r>
          </w:p>
        </w:tc>
      </w:tr>
      <w:tr w:rsidR="00EE6687" w14:paraId="017299AE" w14:textId="77777777" w:rsidTr="00EE6687">
        <w:tc>
          <w:tcPr>
            <w:cnfStyle w:val="001000000000" w:firstRow="0" w:lastRow="0" w:firstColumn="1" w:lastColumn="0" w:oddVBand="0" w:evenVBand="0" w:oddHBand="0" w:evenHBand="0" w:firstRowFirstColumn="0" w:firstRowLastColumn="0" w:lastRowFirstColumn="0" w:lastRowLastColumn="0"/>
            <w:tcW w:w="3686" w:type="dxa"/>
          </w:tcPr>
          <w:p w14:paraId="65337F40" w14:textId="542C706A" w:rsidR="00EE6687" w:rsidRDefault="00EE6687" w:rsidP="00EE6687">
            <w:r w:rsidRPr="004E7026">
              <w:t xml:space="preserve">Action 1.1: </w:t>
            </w:r>
            <w:r>
              <w:br/>
            </w:r>
            <w:r w:rsidRPr="00EE6687">
              <w:rPr>
                <w:b w:val="0"/>
              </w:rPr>
              <w:t>Define and model the current freight and supply chain network</w:t>
            </w:r>
          </w:p>
        </w:tc>
        <w:tc>
          <w:tcPr>
            <w:tcW w:w="1984" w:type="dxa"/>
          </w:tcPr>
          <w:p w14:paraId="03A594B1" w14:textId="33E3967C" w:rsidR="00EE6687" w:rsidRDefault="00EE6687" w:rsidP="00EE6687">
            <w:pPr>
              <w:cnfStyle w:val="000000000000" w:firstRow="0" w:lastRow="0" w:firstColumn="0" w:lastColumn="0" w:oddVBand="0" w:evenVBand="0" w:oddHBand="0" w:evenHBand="0" w:firstRowFirstColumn="0" w:firstRowLastColumn="0" w:lastRowFirstColumn="0" w:lastRowLastColumn="0"/>
            </w:pPr>
            <w:r>
              <w:t>Commonwealth</w:t>
            </w:r>
          </w:p>
        </w:tc>
        <w:tc>
          <w:tcPr>
            <w:tcW w:w="2694" w:type="dxa"/>
          </w:tcPr>
          <w:p w14:paraId="024606FF" w14:textId="6BB594F4" w:rsidR="00EE6687" w:rsidRPr="004B0FC7" w:rsidRDefault="00EE6687" w:rsidP="00EE668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Cs/>
                <w:color w:val="000000"/>
                <w:lang w:eastAsia="en-AU"/>
              </w:rPr>
            </w:pPr>
            <w:r w:rsidRPr="005075C9">
              <w:rPr>
                <w:rFonts w:ascii="Calibri" w:eastAsia="Times New Roman" w:hAnsi="Calibri" w:cs="Calibri"/>
                <w:iCs/>
                <w:color w:val="000000"/>
                <w:lang w:eastAsia="en-AU"/>
              </w:rPr>
              <w:t>NSW</w:t>
            </w:r>
            <w:r w:rsidR="004B0FC7">
              <w:rPr>
                <w:rFonts w:ascii="Calibri" w:eastAsia="Times New Roman" w:hAnsi="Calibri" w:cs="Calibri"/>
                <w:iCs/>
                <w:color w:val="000000"/>
                <w:lang w:eastAsia="en-AU"/>
              </w:rPr>
              <w:t xml:space="preserve">, </w:t>
            </w:r>
            <w:r w:rsidRPr="005075C9">
              <w:rPr>
                <w:rFonts w:ascii="Calibri" w:eastAsia="Times New Roman" w:hAnsi="Calibri" w:cs="Calibri"/>
                <w:iCs/>
                <w:color w:val="000000"/>
                <w:lang w:eastAsia="en-AU"/>
              </w:rPr>
              <w:t>SA</w:t>
            </w:r>
            <w:r w:rsidR="004B0FC7">
              <w:rPr>
                <w:rFonts w:ascii="Calibri" w:eastAsia="Times New Roman" w:hAnsi="Calibri" w:cs="Calibri"/>
                <w:iCs/>
                <w:color w:val="000000"/>
                <w:lang w:eastAsia="en-AU"/>
              </w:rPr>
              <w:t xml:space="preserve">, </w:t>
            </w:r>
            <w:r w:rsidRPr="005075C9">
              <w:rPr>
                <w:rFonts w:ascii="Calibri" w:eastAsia="Times New Roman" w:hAnsi="Calibri" w:cs="Calibri"/>
                <w:iCs/>
                <w:color w:val="000000"/>
                <w:lang w:eastAsia="en-AU"/>
              </w:rPr>
              <w:t>WA</w:t>
            </w:r>
            <w:r w:rsidR="004B0FC7">
              <w:rPr>
                <w:rFonts w:ascii="Calibri" w:eastAsia="Times New Roman" w:hAnsi="Calibri" w:cs="Calibri"/>
                <w:iCs/>
                <w:color w:val="000000"/>
                <w:lang w:eastAsia="en-AU"/>
              </w:rPr>
              <w:t xml:space="preserve">, </w:t>
            </w:r>
            <w:r w:rsidRPr="005075C9">
              <w:rPr>
                <w:rFonts w:ascii="Calibri" w:eastAsia="Times New Roman" w:hAnsi="Calibri" w:cs="Calibri"/>
                <w:iCs/>
                <w:color w:val="000000"/>
                <w:lang w:eastAsia="en-AU"/>
              </w:rPr>
              <w:t>Vic</w:t>
            </w:r>
            <w:r w:rsidR="004B0FC7">
              <w:rPr>
                <w:rFonts w:ascii="Calibri" w:eastAsia="Times New Roman" w:hAnsi="Calibri" w:cs="Calibri"/>
                <w:iCs/>
                <w:color w:val="000000"/>
                <w:lang w:eastAsia="en-AU"/>
              </w:rPr>
              <w:t>, Qld</w:t>
            </w:r>
          </w:p>
        </w:tc>
        <w:tc>
          <w:tcPr>
            <w:tcW w:w="1490" w:type="dxa"/>
          </w:tcPr>
          <w:p w14:paraId="53871D0F" w14:textId="47007A46" w:rsidR="00EE6687" w:rsidRDefault="00EE6687" w:rsidP="00EE6687">
            <w:pPr>
              <w:cnfStyle w:val="000000000000" w:firstRow="0" w:lastRow="0" w:firstColumn="0" w:lastColumn="0" w:oddVBand="0" w:evenVBand="0" w:oddHBand="0" w:evenHBand="0" w:firstRowFirstColumn="0" w:firstRowLastColumn="0" w:lastRowFirstColumn="0" w:lastRowLastColumn="0"/>
            </w:pPr>
            <w:r>
              <w:t>2025-26</w:t>
            </w:r>
          </w:p>
        </w:tc>
      </w:tr>
      <w:tr w:rsidR="00EE6687" w14:paraId="082141D0" w14:textId="77777777" w:rsidTr="00EE66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247E486F" w14:textId="37B775A5" w:rsidR="00EE6687" w:rsidRDefault="00EE6687" w:rsidP="00EE6687">
            <w:r w:rsidRPr="004E7026">
              <w:t xml:space="preserve">Action 1.2: </w:t>
            </w:r>
            <w:r>
              <w:br/>
            </w:r>
            <w:r w:rsidRPr="00EE6687">
              <w:rPr>
                <w:b w:val="0"/>
              </w:rPr>
              <w:t>Model the ideal future freight network in 2040</w:t>
            </w:r>
          </w:p>
        </w:tc>
        <w:tc>
          <w:tcPr>
            <w:tcW w:w="1984" w:type="dxa"/>
          </w:tcPr>
          <w:p w14:paraId="1BAD81DA" w14:textId="1C72F956" w:rsidR="00EE6687" w:rsidRDefault="00EE6687" w:rsidP="00EE6687">
            <w:pPr>
              <w:cnfStyle w:val="000000010000" w:firstRow="0" w:lastRow="0" w:firstColumn="0" w:lastColumn="0" w:oddVBand="0" w:evenVBand="0" w:oddHBand="0" w:evenHBand="1" w:firstRowFirstColumn="0" w:firstRowLastColumn="0" w:lastRowFirstColumn="0" w:lastRowLastColumn="0"/>
            </w:pPr>
            <w:r>
              <w:t>Commonwealth</w:t>
            </w:r>
          </w:p>
        </w:tc>
        <w:tc>
          <w:tcPr>
            <w:tcW w:w="2694" w:type="dxa"/>
          </w:tcPr>
          <w:p w14:paraId="6A5B37A9" w14:textId="1D8E33DF" w:rsidR="00EE6687" w:rsidRPr="004B0FC7" w:rsidRDefault="00EE6687" w:rsidP="00EE6687">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iCs/>
                <w:color w:val="000000"/>
                <w:lang w:eastAsia="en-AU"/>
              </w:rPr>
            </w:pPr>
            <w:r w:rsidRPr="005075C9">
              <w:rPr>
                <w:rFonts w:ascii="Calibri" w:eastAsia="Times New Roman" w:hAnsi="Calibri" w:cs="Calibri"/>
                <w:iCs/>
                <w:color w:val="000000"/>
                <w:lang w:eastAsia="en-AU"/>
              </w:rPr>
              <w:t>NSW</w:t>
            </w:r>
            <w:r w:rsidR="004B0FC7">
              <w:rPr>
                <w:rFonts w:ascii="Calibri" w:eastAsia="Times New Roman" w:hAnsi="Calibri" w:cs="Calibri"/>
                <w:iCs/>
                <w:color w:val="000000"/>
                <w:lang w:eastAsia="en-AU"/>
              </w:rPr>
              <w:t xml:space="preserve">, </w:t>
            </w:r>
            <w:r w:rsidRPr="005075C9">
              <w:rPr>
                <w:rFonts w:ascii="Calibri" w:eastAsia="Times New Roman" w:hAnsi="Calibri" w:cs="Calibri"/>
                <w:iCs/>
                <w:color w:val="000000"/>
                <w:lang w:eastAsia="en-AU"/>
              </w:rPr>
              <w:t>SA</w:t>
            </w:r>
            <w:r w:rsidR="004B0FC7">
              <w:rPr>
                <w:rFonts w:ascii="Calibri" w:eastAsia="Times New Roman" w:hAnsi="Calibri" w:cs="Calibri"/>
                <w:iCs/>
                <w:color w:val="000000"/>
                <w:lang w:eastAsia="en-AU"/>
              </w:rPr>
              <w:t xml:space="preserve">, </w:t>
            </w:r>
            <w:r w:rsidRPr="005075C9">
              <w:rPr>
                <w:rFonts w:ascii="Calibri" w:eastAsia="Times New Roman" w:hAnsi="Calibri" w:cs="Calibri"/>
                <w:iCs/>
                <w:color w:val="000000"/>
                <w:lang w:eastAsia="en-AU"/>
              </w:rPr>
              <w:t>WA</w:t>
            </w:r>
            <w:r w:rsidR="004B0FC7">
              <w:rPr>
                <w:rFonts w:ascii="Calibri" w:eastAsia="Times New Roman" w:hAnsi="Calibri" w:cs="Calibri"/>
                <w:iCs/>
                <w:color w:val="000000"/>
                <w:lang w:eastAsia="en-AU"/>
              </w:rPr>
              <w:t xml:space="preserve">, </w:t>
            </w:r>
            <w:r w:rsidRPr="005075C9">
              <w:rPr>
                <w:rFonts w:ascii="Calibri" w:eastAsia="Times New Roman" w:hAnsi="Calibri" w:cs="Calibri"/>
                <w:iCs/>
                <w:color w:val="000000"/>
                <w:lang w:eastAsia="en-AU"/>
              </w:rPr>
              <w:t>Vic</w:t>
            </w:r>
            <w:r w:rsidR="004B0FC7">
              <w:rPr>
                <w:rFonts w:ascii="Calibri" w:eastAsia="Times New Roman" w:hAnsi="Calibri" w:cs="Calibri"/>
                <w:iCs/>
                <w:color w:val="000000"/>
                <w:lang w:eastAsia="en-AU"/>
              </w:rPr>
              <w:t>, Qld</w:t>
            </w:r>
          </w:p>
        </w:tc>
        <w:tc>
          <w:tcPr>
            <w:tcW w:w="1490" w:type="dxa"/>
          </w:tcPr>
          <w:p w14:paraId="48733E13" w14:textId="1205FC6E" w:rsidR="00EE6687" w:rsidRDefault="00EE6687" w:rsidP="00EE6687">
            <w:pPr>
              <w:cnfStyle w:val="000000010000" w:firstRow="0" w:lastRow="0" w:firstColumn="0" w:lastColumn="0" w:oddVBand="0" w:evenVBand="0" w:oddHBand="0" w:evenHBand="1" w:firstRowFirstColumn="0" w:firstRowLastColumn="0" w:lastRowFirstColumn="0" w:lastRowLastColumn="0"/>
            </w:pPr>
            <w:r>
              <w:t>2026-27</w:t>
            </w:r>
          </w:p>
        </w:tc>
      </w:tr>
      <w:tr w:rsidR="00EE6687" w14:paraId="2DCF785D" w14:textId="77777777" w:rsidTr="00EE6687">
        <w:tc>
          <w:tcPr>
            <w:cnfStyle w:val="001000000000" w:firstRow="0" w:lastRow="0" w:firstColumn="1" w:lastColumn="0" w:oddVBand="0" w:evenVBand="0" w:oddHBand="0" w:evenHBand="0" w:firstRowFirstColumn="0" w:firstRowLastColumn="0" w:lastRowFirstColumn="0" w:lastRowLastColumn="0"/>
            <w:tcW w:w="3686" w:type="dxa"/>
          </w:tcPr>
          <w:p w14:paraId="7EE6730B" w14:textId="52D88BBE" w:rsidR="00EE6687" w:rsidRDefault="00EE6687" w:rsidP="00EE6687">
            <w:r w:rsidRPr="004E7026">
              <w:t xml:space="preserve">Action 1.3: </w:t>
            </w:r>
            <w:r>
              <w:br/>
            </w:r>
            <w:r w:rsidRPr="00EE6687">
              <w:rPr>
                <w:b w:val="0"/>
              </w:rPr>
              <w:t>Improve freight education and awareness in urban and industrial land use planning</w:t>
            </w:r>
          </w:p>
        </w:tc>
        <w:tc>
          <w:tcPr>
            <w:tcW w:w="1984" w:type="dxa"/>
          </w:tcPr>
          <w:p w14:paraId="69D86CD2" w14:textId="6BBE0843" w:rsidR="00EE6687" w:rsidRDefault="00EE6687" w:rsidP="00EE6687">
            <w:pPr>
              <w:cnfStyle w:val="000000000000" w:firstRow="0" w:lastRow="0" w:firstColumn="0" w:lastColumn="0" w:oddVBand="0" w:evenVBand="0" w:oddHBand="0" w:evenHBand="0" w:firstRowFirstColumn="0" w:firstRowLastColumn="0" w:lastRowFirstColumn="0" w:lastRowLastColumn="0"/>
            </w:pPr>
            <w:r>
              <w:t>Commonwealth</w:t>
            </w:r>
          </w:p>
        </w:tc>
        <w:tc>
          <w:tcPr>
            <w:tcW w:w="2694" w:type="dxa"/>
          </w:tcPr>
          <w:p w14:paraId="2ED3AFFF" w14:textId="553A7EAD" w:rsidR="00EE6687" w:rsidRDefault="00EE6687" w:rsidP="00EE6687">
            <w:pPr>
              <w:cnfStyle w:val="000000000000" w:firstRow="0" w:lastRow="0" w:firstColumn="0" w:lastColumn="0" w:oddVBand="0" w:evenVBand="0" w:oddHBand="0" w:evenHBand="0" w:firstRowFirstColumn="0" w:firstRowLastColumn="0" w:lastRowFirstColumn="0" w:lastRowLastColumn="0"/>
            </w:pPr>
            <w:r w:rsidRPr="005075C9">
              <w:rPr>
                <w:rFonts w:ascii="Calibri" w:eastAsia="Times New Roman" w:hAnsi="Calibri" w:cs="Calibri"/>
                <w:iCs/>
                <w:color w:val="000000"/>
                <w:lang w:eastAsia="en-AU"/>
              </w:rPr>
              <w:t>NSW</w:t>
            </w:r>
            <w:r w:rsidR="004B0FC7">
              <w:rPr>
                <w:rFonts w:ascii="Calibri" w:eastAsia="Times New Roman" w:hAnsi="Calibri" w:cs="Calibri"/>
                <w:iCs/>
                <w:color w:val="000000"/>
                <w:lang w:eastAsia="en-AU"/>
              </w:rPr>
              <w:t xml:space="preserve">, </w:t>
            </w:r>
            <w:r w:rsidRPr="005075C9">
              <w:rPr>
                <w:rFonts w:ascii="Calibri" w:eastAsia="Times New Roman" w:hAnsi="Calibri" w:cs="Calibri"/>
                <w:iCs/>
                <w:color w:val="000000"/>
                <w:lang w:eastAsia="en-AU"/>
              </w:rPr>
              <w:t>WA</w:t>
            </w:r>
            <w:r w:rsidR="004B0FC7">
              <w:rPr>
                <w:rFonts w:ascii="Calibri" w:eastAsia="Times New Roman" w:hAnsi="Calibri" w:cs="Calibri"/>
                <w:iCs/>
                <w:color w:val="000000"/>
                <w:lang w:eastAsia="en-AU"/>
              </w:rPr>
              <w:t xml:space="preserve">, </w:t>
            </w:r>
            <w:r>
              <w:rPr>
                <w:rFonts w:ascii="Calibri" w:eastAsia="Times New Roman" w:hAnsi="Calibri" w:cs="Calibri"/>
                <w:iCs/>
                <w:color w:val="000000"/>
                <w:lang w:eastAsia="en-AU"/>
              </w:rPr>
              <w:t>Australian Local Government Association</w:t>
            </w:r>
            <w:r w:rsidR="004B0FC7">
              <w:rPr>
                <w:rFonts w:ascii="Calibri" w:eastAsia="Times New Roman" w:hAnsi="Calibri" w:cs="Calibri"/>
                <w:iCs/>
                <w:color w:val="000000"/>
                <w:lang w:eastAsia="en-AU"/>
              </w:rPr>
              <w:t xml:space="preserve">, </w:t>
            </w:r>
            <w:r>
              <w:rPr>
                <w:rFonts w:ascii="Calibri" w:eastAsia="Times New Roman" w:hAnsi="Calibri" w:cs="Calibri"/>
                <w:iCs/>
                <w:color w:val="000000"/>
                <w:lang w:eastAsia="en-AU"/>
              </w:rPr>
              <w:t>Vic</w:t>
            </w:r>
          </w:p>
        </w:tc>
        <w:tc>
          <w:tcPr>
            <w:tcW w:w="1490" w:type="dxa"/>
          </w:tcPr>
          <w:p w14:paraId="0A139F35" w14:textId="0AB1C7F4" w:rsidR="00EE6687" w:rsidRDefault="00EE6687" w:rsidP="00EE6687">
            <w:pPr>
              <w:cnfStyle w:val="000000000000" w:firstRow="0" w:lastRow="0" w:firstColumn="0" w:lastColumn="0" w:oddVBand="0" w:evenVBand="0" w:oddHBand="0" w:evenHBand="0" w:firstRowFirstColumn="0" w:firstRowLastColumn="0" w:lastRowFirstColumn="0" w:lastRowLastColumn="0"/>
            </w:pPr>
            <w:r>
              <w:t>2025-26</w:t>
            </w:r>
          </w:p>
        </w:tc>
      </w:tr>
      <w:tr w:rsidR="00EE6687" w14:paraId="5B54565B" w14:textId="77777777" w:rsidTr="00EE66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0B4965E6" w14:textId="171F5AA4" w:rsidR="00EE6687" w:rsidRDefault="00EE6687" w:rsidP="00EE6687">
            <w:r w:rsidRPr="004E7026">
              <w:t xml:space="preserve">Action 1.4: </w:t>
            </w:r>
            <w:r>
              <w:br/>
            </w:r>
            <w:r w:rsidRPr="00EE6687">
              <w:rPr>
                <w:b w:val="0"/>
              </w:rPr>
              <w:t>Promote uptake of technology to improve safety and productivity</w:t>
            </w:r>
          </w:p>
        </w:tc>
        <w:tc>
          <w:tcPr>
            <w:tcW w:w="1984" w:type="dxa"/>
          </w:tcPr>
          <w:p w14:paraId="19D6E16E" w14:textId="1959EB3A" w:rsidR="00EE6687" w:rsidRDefault="00997A1B" w:rsidP="00EE6687">
            <w:pPr>
              <w:cnfStyle w:val="000000010000" w:firstRow="0" w:lastRow="0" w:firstColumn="0" w:lastColumn="0" w:oddVBand="0" w:evenVBand="0" w:oddHBand="0" w:evenHBand="1" w:firstRowFirstColumn="0" w:firstRowLastColumn="0" w:lastRowFirstColumn="0" w:lastRowLastColumn="0"/>
            </w:pPr>
            <w:r>
              <w:t>All</w:t>
            </w:r>
          </w:p>
        </w:tc>
        <w:tc>
          <w:tcPr>
            <w:tcW w:w="2694" w:type="dxa"/>
          </w:tcPr>
          <w:p w14:paraId="6392E744" w14:textId="401AA3C4" w:rsidR="00EE6687" w:rsidRPr="00EE6687" w:rsidRDefault="00EE6687" w:rsidP="00EE6687">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bCs/>
                <w:iCs/>
                <w:color w:val="000000"/>
                <w:lang w:eastAsia="en-AU"/>
              </w:rPr>
            </w:pPr>
            <w:r w:rsidRPr="005075C9">
              <w:rPr>
                <w:rFonts w:ascii="Calibri" w:eastAsia="Times New Roman" w:hAnsi="Calibri" w:cs="Calibri"/>
                <w:bCs/>
                <w:iCs/>
                <w:color w:val="000000"/>
                <w:lang w:eastAsia="en-AU"/>
              </w:rPr>
              <w:t>All jurisdictions through the J</w:t>
            </w:r>
            <w:r>
              <w:rPr>
                <w:rFonts w:ascii="Calibri" w:eastAsia="Times New Roman" w:hAnsi="Calibri" w:cs="Calibri"/>
                <w:bCs/>
                <w:iCs/>
                <w:color w:val="000000"/>
                <w:lang w:eastAsia="en-AU"/>
              </w:rPr>
              <w:t xml:space="preserve">urisdictional </w:t>
            </w:r>
            <w:r w:rsidRPr="005075C9">
              <w:rPr>
                <w:rFonts w:ascii="Calibri" w:eastAsia="Times New Roman" w:hAnsi="Calibri" w:cs="Calibri"/>
                <w:bCs/>
                <w:iCs/>
                <w:color w:val="000000"/>
                <w:lang w:eastAsia="en-AU"/>
              </w:rPr>
              <w:t>W</w:t>
            </w:r>
            <w:r>
              <w:rPr>
                <w:rFonts w:ascii="Calibri" w:eastAsia="Times New Roman" w:hAnsi="Calibri" w:cs="Calibri"/>
                <w:bCs/>
                <w:iCs/>
                <w:color w:val="000000"/>
                <w:lang w:eastAsia="en-AU"/>
              </w:rPr>
              <w:t xml:space="preserve">orking </w:t>
            </w:r>
            <w:r w:rsidRPr="005075C9">
              <w:rPr>
                <w:rFonts w:ascii="Calibri" w:eastAsia="Times New Roman" w:hAnsi="Calibri" w:cs="Calibri"/>
                <w:bCs/>
                <w:iCs/>
                <w:color w:val="000000"/>
                <w:lang w:eastAsia="en-AU"/>
              </w:rPr>
              <w:t>G</w:t>
            </w:r>
            <w:r>
              <w:rPr>
                <w:rFonts w:ascii="Calibri" w:eastAsia="Times New Roman" w:hAnsi="Calibri" w:cs="Calibri"/>
                <w:bCs/>
                <w:iCs/>
                <w:color w:val="000000"/>
                <w:lang w:eastAsia="en-AU"/>
              </w:rPr>
              <w:t>roup</w:t>
            </w:r>
          </w:p>
        </w:tc>
        <w:tc>
          <w:tcPr>
            <w:tcW w:w="1490" w:type="dxa"/>
          </w:tcPr>
          <w:p w14:paraId="15BEFF49" w14:textId="615093C3" w:rsidR="00EE6687" w:rsidRDefault="00EE6687" w:rsidP="00EE6687">
            <w:pPr>
              <w:cnfStyle w:val="000000010000" w:firstRow="0" w:lastRow="0" w:firstColumn="0" w:lastColumn="0" w:oddVBand="0" w:evenVBand="0" w:oddHBand="0" w:evenHBand="1" w:firstRowFirstColumn="0" w:firstRowLastColumn="0" w:lastRowFirstColumn="0" w:lastRowLastColumn="0"/>
            </w:pPr>
            <w:r>
              <w:t>Ongoing</w:t>
            </w:r>
          </w:p>
        </w:tc>
      </w:tr>
    </w:tbl>
    <w:p w14:paraId="21473903" w14:textId="7D70B539" w:rsidR="00EE6687" w:rsidRDefault="0028673F" w:rsidP="00201CEB">
      <w:pPr>
        <w:pStyle w:val="Heading2"/>
      </w:pPr>
      <w:r>
        <w:t>Resilience</w:t>
      </w:r>
    </w:p>
    <w:tbl>
      <w:tblPr>
        <w:tblStyle w:val="DefaultTable1"/>
        <w:tblW w:w="0" w:type="auto"/>
        <w:tblLook w:val="04A0" w:firstRow="1" w:lastRow="0" w:firstColumn="1" w:lastColumn="0" w:noHBand="0" w:noVBand="1"/>
      </w:tblPr>
      <w:tblGrid>
        <w:gridCol w:w="3686"/>
        <w:gridCol w:w="1984"/>
        <w:gridCol w:w="2694"/>
        <w:gridCol w:w="1490"/>
      </w:tblGrid>
      <w:tr w:rsidR="004B0FC7" w14:paraId="638C46FB" w14:textId="77777777" w:rsidTr="00997A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5564599A" w14:textId="77777777" w:rsidR="004B0FC7" w:rsidRDefault="004B0FC7" w:rsidP="00997A1B">
            <w:r>
              <w:t>Action</w:t>
            </w:r>
          </w:p>
        </w:tc>
        <w:tc>
          <w:tcPr>
            <w:tcW w:w="1984" w:type="dxa"/>
          </w:tcPr>
          <w:p w14:paraId="05CE3EE4" w14:textId="77777777" w:rsidR="004B0FC7" w:rsidRDefault="004B0FC7" w:rsidP="00997A1B">
            <w:pPr>
              <w:cnfStyle w:val="100000000000" w:firstRow="1" w:lastRow="0" w:firstColumn="0" w:lastColumn="0" w:oddVBand="0" w:evenVBand="0" w:oddHBand="0" w:evenHBand="0" w:firstRowFirstColumn="0" w:firstRowLastColumn="0" w:lastRowFirstColumn="0" w:lastRowLastColumn="0"/>
            </w:pPr>
            <w:r>
              <w:t>Lead</w:t>
            </w:r>
          </w:p>
        </w:tc>
        <w:tc>
          <w:tcPr>
            <w:tcW w:w="2694" w:type="dxa"/>
          </w:tcPr>
          <w:p w14:paraId="544F716A" w14:textId="77777777" w:rsidR="004B0FC7" w:rsidRDefault="004B0FC7" w:rsidP="00997A1B">
            <w:pPr>
              <w:cnfStyle w:val="100000000000" w:firstRow="1" w:lastRow="0" w:firstColumn="0" w:lastColumn="0" w:oddVBand="0" w:evenVBand="0" w:oddHBand="0" w:evenHBand="0" w:firstRowFirstColumn="0" w:firstRowLastColumn="0" w:lastRowFirstColumn="0" w:lastRowLastColumn="0"/>
            </w:pPr>
            <w:r>
              <w:t>Key Collaborators</w:t>
            </w:r>
          </w:p>
        </w:tc>
        <w:tc>
          <w:tcPr>
            <w:tcW w:w="1490" w:type="dxa"/>
          </w:tcPr>
          <w:p w14:paraId="06BEDF61" w14:textId="77777777" w:rsidR="004B0FC7" w:rsidRDefault="004B0FC7" w:rsidP="00997A1B">
            <w:pPr>
              <w:cnfStyle w:val="100000000000" w:firstRow="1" w:lastRow="0" w:firstColumn="0" w:lastColumn="0" w:oddVBand="0" w:evenVBand="0" w:oddHBand="0" w:evenHBand="0" w:firstRowFirstColumn="0" w:firstRowLastColumn="0" w:lastRowFirstColumn="0" w:lastRowLastColumn="0"/>
            </w:pPr>
            <w:r>
              <w:t>Timeframe</w:t>
            </w:r>
          </w:p>
        </w:tc>
      </w:tr>
      <w:tr w:rsidR="004B0FC7" w14:paraId="39218F38" w14:textId="77777777" w:rsidTr="00997A1B">
        <w:tc>
          <w:tcPr>
            <w:cnfStyle w:val="001000000000" w:firstRow="0" w:lastRow="0" w:firstColumn="1" w:lastColumn="0" w:oddVBand="0" w:evenVBand="0" w:oddHBand="0" w:evenHBand="0" w:firstRowFirstColumn="0" w:firstRowLastColumn="0" w:lastRowFirstColumn="0" w:lastRowLastColumn="0"/>
            <w:tcW w:w="3686" w:type="dxa"/>
          </w:tcPr>
          <w:p w14:paraId="178BF49C" w14:textId="1607F2E6" w:rsidR="004B0FC7" w:rsidRDefault="004B0FC7" w:rsidP="004B0FC7">
            <w:r w:rsidRPr="00D30FE5">
              <w:t xml:space="preserve">Action 2.1: </w:t>
            </w:r>
            <w:r>
              <w:br/>
            </w:r>
            <w:r w:rsidRPr="004B0FC7">
              <w:rPr>
                <w:b w:val="0"/>
              </w:rPr>
              <w:t>Develop a National Freight Resilience Plan</w:t>
            </w:r>
          </w:p>
        </w:tc>
        <w:tc>
          <w:tcPr>
            <w:tcW w:w="1984" w:type="dxa"/>
          </w:tcPr>
          <w:p w14:paraId="6F33CDF3" w14:textId="77777777" w:rsidR="004B0FC7" w:rsidRDefault="004B0FC7" w:rsidP="004B0FC7">
            <w:pPr>
              <w:cnfStyle w:val="000000000000" w:firstRow="0" w:lastRow="0" w:firstColumn="0" w:lastColumn="0" w:oddVBand="0" w:evenVBand="0" w:oddHBand="0" w:evenHBand="0" w:firstRowFirstColumn="0" w:firstRowLastColumn="0" w:lastRowFirstColumn="0" w:lastRowLastColumn="0"/>
            </w:pPr>
            <w:r>
              <w:t>Commonwealth</w:t>
            </w:r>
          </w:p>
        </w:tc>
        <w:tc>
          <w:tcPr>
            <w:tcW w:w="2694" w:type="dxa"/>
          </w:tcPr>
          <w:p w14:paraId="3170D5D8" w14:textId="58925962" w:rsidR="004B0FC7" w:rsidRPr="004B0FC7" w:rsidRDefault="004B0FC7" w:rsidP="004B0FC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Cs/>
                <w:color w:val="000000"/>
                <w:lang w:eastAsia="en-AU"/>
              </w:rPr>
            </w:pPr>
            <w:r w:rsidRPr="005075C9">
              <w:rPr>
                <w:rFonts w:ascii="Calibri" w:eastAsia="Times New Roman" w:hAnsi="Calibri" w:cs="Calibri"/>
                <w:bCs/>
                <w:iCs/>
                <w:color w:val="000000"/>
                <w:lang w:eastAsia="en-AU"/>
              </w:rPr>
              <w:t>All jurisdictions through the J</w:t>
            </w:r>
            <w:r>
              <w:rPr>
                <w:rFonts w:ascii="Calibri" w:eastAsia="Times New Roman" w:hAnsi="Calibri" w:cs="Calibri"/>
                <w:bCs/>
                <w:iCs/>
                <w:color w:val="000000"/>
                <w:lang w:eastAsia="en-AU"/>
              </w:rPr>
              <w:t>urisdictional Working Group</w:t>
            </w:r>
          </w:p>
        </w:tc>
        <w:tc>
          <w:tcPr>
            <w:tcW w:w="1490" w:type="dxa"/>
          </w:tcPr>
          <w:p w14:paraId="50C88EF8" w14:textId="39F9EEEB" w:rsidR="004B0FC7" w:rsidRDefault="004B0FC7" w:rsidP="004B0FC7">
            <w:pPr>
              <w:cnfStyle w:val="000000000000" w:firstRow="0" w:lastRow="0" w:firstColumn="0" w:lastColumn="0" w:oddVBand="0" w:evenVBand="0" w:oddHBand="0" w:evenHBand="0" w:firstRowFirstColumn="0" w:firstRowLastColumn="0" w:lastRowFirstColumn="0" w:lastRowLastColumn="0"/>
            </w:pPr>
            <w:r>
              <w:t>2025</w:t>
            </w:r>
          </w:p>
        </w:tc>
      </w:tr>
      <w:tr w:rsidR="004B0FC7" w14:paraId="4CD87B97" w14:textId="77777777" w:rsidTr="00997A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578029FD" w14:textId="62193AF6" w:rsidR="004B0FC7" w:rsidRDefault="004B0FC7" w:rsidP="004B0FC7">
            <w:r w:rsidRPr="00D30FE5">
              <w:t xml:space="preserve">Action 2.2: </w:t>
            </w:r>
            <w:r>
              <w:br/>
            </w:r>
            <w:r w:rsidRPr="004B0FC7">
              <w:rPr>
                <w:b w:val="0"/>
              </w:rPr>
              <w:t>Conduct periodic supply chain risk and resilience modelling</w:t>
            </w:r>
          </w:p>
        </w:tc>
        <w:tc>
          <w:tcPr>
            <w:tcW w:w="1984" w:type="dxa"/>
          </w:tcPr>
          <w:p w14:paraId="6AD7B629" w14:textId="77777777" w:rsidR="004B0FC7" w:rsidRDefault="004B0FC7" w:rsidP="004B0FC7">
            <w:pPr>
              <w:cnfStyle w:val="000000010000" w:firstRow="0" w:lastRow="0" w:firstColumn="0" w:lastColumn="0" w:oddVBand="0" w:evenVBand="0" w:oddHBand="0" w:evenHBand="1" w:firstRowFirstColumn="0" w:firstRowLastColumn="0" w:lastRowFirstColumn="0" w:lastRowLastColumn="0"/>
            </w:pPr>
            <w:r>
              <w:t>Commonwealth</w:t>
            </w:r>
          </w:p>
        </w:tc>
        <w:tc>
          <w:tcPr>
            <w:tcW w:w="2694" w:type="dxa"/>
          </w:tcPr>
          <w:p w14:paraId="70742845" w14:textId="017BF97E" w:rsidR="004B0FC7" w:rsidRPr="004B0FC7" w:rsidRDefault="004B0FC7" w:rsidP="004B0FC7">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iCs/>
                <w:color w:val="000000"/>
                <w:lang w:eastAsia="en-AU"/>
              </w:rPr>
            </w:pPr>
            <w:r w:rsidRPr="005075C9">
              <w:rPr>
                <w:rFonts w:ascii="Calibri" w:eastAsia="Times New Roman" w:hAnsi="Calibri" w:cs="Calibri"/>
                <w:iCs/>
                <w:color w:val="000000"/>
                <w:lang w:eastAsia="en-AU"/>
              </w:rPr>
              <w:t>WA</w:t>
            </w:r>
            <w:r>
              <w:rPr>
                <w:rFonts w:ascii="Calibri" w:eastAsia="Times New Roman" w:hAnsi="Calibri" w:cs="Calibri"/>
                <w:iCs/>
                <w:color w:val="000000"/>
                <w:lang w:eastAsia="en-AU"/>
              </w:rPr>
              <w:t xml:space="preserve">, </w:t>
            </w:r>
            <w:r w:rsidRPr="005075C9">
              <w:rPr>
                <w:rFonts w:ascii="Calibri" w:eastAsia="Times New Roman" w:hAnsi="Calibri" w:cs="Calibri"/>
                <w:iCs/>
                <w:color w:val="000000"/>
                <w:lang w:eastAsia="en-AU"/>
              </w:rPr>
              <w:t>Qld</w:t>
            </w:r>
            <w:r>
              <w:rPr>
                <w:rFonts w:ascii="Calibri" w:eastAsia="Times New Roman" w:hAnsi="Calibri" w:cs="Calibri"/>
                <w:iCs/>
                <w:color w:val="000000"/>
                <w:lang w:eastAsia="en-AU"/>
              </w:rPr>
              <w:t xml:space="preserve">, </w:t>
            </w:r>
            <w:r w:rsidRPr="005075C9">
              <w:rPr>
                <w:rFonts w:ascii="Calibri" w:eastAsia="Times New Roman" w:hAnsi="Calibri" w:cs="Calibri"/>
                <w:iCs/>
                <w:color w:val="000000"/>
                <w:lang w:eastAsia="en-AU"/>
              </w:rPr>
              <w:t xml:space="preserve">NSW </w:t>
            </w:r>
          </w:p>
        </w:tc>
        <w:tc>
          <w:tcPr>
            <w:tcW w:w="1490" w:type="dxa"/>
          </w:tcPr>
          <w:p w14:paraId="3339D621" w14:textId="3961FB88" w:rsidR="004B0FC7" w:rsidRDefault="004B0FC7" w:rsidP="004B0FC7">
            <w:pPr>
              <w:cnfStyle w:val="000000010000" w:firstRow="0" w:lastRow="0" w:firstColumn="0" w:lastColumn="0" w:oddVBand="0" w:evenVBand="0" w:oddHBand="0" w:evenHBand="1" w:firstRowFirstColumn="0" w:firstRowLastColumn="0" w:lastRowFirstColumn="0" w:lastRowLastColumn="0"/>
            </w:pPr>
            <w:r>
              <w:t>2027-28</w:t>
            </w:r>
          </w:p>
        </w:tc>
      </w:tr>
      <w:tr w:rsidR="004B0FC7" w14:paraId="4EB2209A" w14:textId="77777777" w:rsidTr="00997A1B">
        <w:tc>
          <w:tcPr>
            <w:cnfStyle w:val="001000000000" w:firstRow="0" w:lastRow="0" w:firstColumn="1" w:lastColumn="0" w:oddVBand="0" w:evenVBand="0" w:oddHBand="0" w:evenHBand="0" w:firstRowFirstColumn="0" w:firstRowLastColumn="0" w:lastRowFirstColumn="0" w:lastRowLastColumn="0"/>
            <w:tcW w:w="3686" w:type="dxa"/>
          </w:tcPr>
          <w:p w14:paraId="280A3443" w14:textId="30BDE497" w:rsidR="004B0FC7" w:rsidRDefault="004B0FC7" w:rsidP="004B0FC7">
            <w:r w:rsidRPr="00D30FE5">
              <w:t xml:space="preserve">Action 2.3: </w:t>
            </w:r>
            <w:r>
              <w:br/>
            </w:r>
            <w:r w:rsidRPr="004B0FC7">
              <w:rPr>
                <w:b w:val="0"/>
              </w:rPr>
              <w:t>Develop a Freight Infrastructure Investment Framework</w:t>
            </w:r>
          </w:p>
        </w:tc>
        <w:tc>
          <w:tcPr>
            <w:tcW w:w="1984" w:type="dxa"/>
          </w:tcPr>
          <w:p w14:paraId="2A83B11A" w14:textId="77777777" w:rsidR="004B0FC7" w:rsidRDefault="004B0FC7" w:rsidP="004B0FC7">
            <w:pPr>
              <w:cnfStyle w:val="000000000000" w:firstRow="0" w:lastRow="0" w:firstColumn="0" w:lastColumn="0" w:oddVBand="0" w:evenVBand="0" w:oddHBand="0" w:evenHBand="0" w:firstRowFirstColumn="0" w:firstRowLastColumn="0" w:lastRowFirstColumn="0" w:lastRowLastColumn="0"/>
            </w:pPr>
            <w:r>
              <w:t>Commonwealth</w:t>
            </w:r>
          </w:p>
        </w:tc>
        <w:tc>
          <w:tcPr>
            <w:tcW w:w="2694" w:type="dxa"/>
          </w:tcPr>
          <w:p w14:paraId="15B148AB" w14:textId="35747489" w:rsidR="004B0FC7" w:rsidRPr="004B0FC7" w:rsidRDefault="004B0FC7" w:rsidP="004B0FC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Cs/>
                <w:color w:val="000000"/>
                <w:lang w:eastAsia="en-AU"/>
              </w:rPr>
            </w:pPr>
            <w:r w:rsidRPr="005075C9">
              <w:rPr>
                <w:rFonts w:ascii="Calibri" w:eastAsia="Times New Roman" w:hAnsi="Calibri" w:cs="Calibri"/>
                <w:iCs/>
                <w:color w:val="000000"/>
                <w:lang w:eastAsia="en-AU"/>
              </w:rPr>
              <w:t>Vic</w:t>
            </w:r>
            <w:r>
              <w:rPr>
                <w:rFonts w:ascii="Calibri" w:eastAsia="Times New Roman" w:hAnsi="Calibri" w:cs="Calibri"/>
                <w:iCs/>
                <w:color w:val="000000"/>
                <w:lang w:eastAsia="en-AU"/>
              </w:rPr>
              <w:t xml:space="preserve">, </w:t>
            </w:r>
            <w:r w:rsidRPr="005075C9">
              <w:rPr>
                <w:rFonts w:ascii="Calibri" w:eastAsia="Times New Roman" w:hAnsi="Calibri" w:cs="Calibri"/>
                <w:iCs/>
                <w:color w:val="000000"/>
                <w:lang w:eastAsia="en-AU"/>
              </w:rPr>
              <w:t>NSW</w:t>
            </w:r>
            <w:r>
              <w:rPr>
                <w:rFonts w:ascii="Calibri" w:eastAsia="Times New Roman" w:hAnsi="Calibri" w:cs="Calibri"/>
                <w:iCs/>
                <w:color w:val="000000"/>
                <w:lang w:eastAsia="en-AU"/>
              </w:rPr>
              <w:t xml:space="preserve">, </w:t>
            </w:r>
            <w:r w:rsidRPr="005075C9">
              <w:rPr>
                <w:rFonts w:ascii="Calibri" w:eastAsia="Times New Roman" w:hAnsi="Calibri" w:cs="Calibri"/>
                <w:iCs/>
                <w:color w:val="000000"/>
                <w:lang w:eastAsia="en-AU"/>
              </w:rPr>
              <w:t>Qld</w:t>
            </w:r>
            <w:r>
              <w:rPr>
                <w:rFonts w:ascii="Calibri" w:eastAsia="Times New Roman" w:hAnsi="Calibri" w:cs="Calibri"/>
                <w:iCs/>
                <w:color w:val="000000"/>
                <w:lang w:eastAsia="en-AU"/>
              </w:rPr>
              <w:t xml:space="preserve">, </w:t>
            </w:r>
            <w:r w:rsidRPr="005075C9">
              <w:rPr>
                <w:rFonts w:ascii="Calibri" w:eastAsia="Times New Roman" w:hAnsi="Calibri" w:cs="Calibri"/>
                <w:iCs/>
                <w:color w:val="000000"/>
                <w:lang w:eastAsia="en-AU"/>
              </w:rPr>
              <w:t>Tas</w:t>
            </w:r>
            <w:r w:rsidR="00741FB2">
              <w:rPr>
                <w:rFonts w:ascii="Calibri" w:eastAsia="Times New Roman" w:hAnsi="Calibri" w:cs="Calibri"/>
                <w:iCs/>
                <w:color w:val="000000"/>
                <w:lang w:eastAsia="en-AU"/>
              </w:rPr>
              <w:t>, WA</w:t>
            </w:r>
          </w:p>
        </w:tc>
        <w:tc>
          <w:tcPr>
            <w:tcW w:w="1490" w:type="dxa"/>
          </w:tcPr>
          <w:p w14:paraId="4D3D960C" w14:textId="0E2D844E" w:rsidR="004B0FC7" w:rsidRDefault="004B0FC7" w:rsidP="004B0FC7">
            <w:pPr>
              <w:cnfStyle w:val="000000000000" w:firstRow="0" w:lastRow="0" w:firstColumn="0" w:lastColumn="0" w:oddVBand="0" w:evenVBand="0" w:oddHBand="0" w:evenHBand="0" w:firstRowFirstColumn="0" w:firstRowLastColumn="0" w:lastRowFirstColumn="0" w:lastRowLastColumn="0"/>
            </w:pPr>
            <w:r>
              <w:t>2025</w:t>
            </w:r>
          </w:p>
        </w:tc>
      </w:tr>
      <w:tr w:rsidR="004B0FC7" w14:paraId="055A60B7" w14:textId="77777777" w:rsidTr="00997A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22999069" w14:textId="11675DD5" w:rsidR="004B0FC7" w:rsidRDefault="004B0FC7" w:rsidP="004B0FC7">
            <w:r w:rsidRPr="00D30FE5">
              <w:t xml:space="preserve">Action 2.4: </w:t>
            </w:r>
            <w:r>
              <w:br/>
            </w:r>
            <w:r w:rsidRPr="004B0FC7">
              <w:rPr>
                <w:b w:val="0"/>
              </w:rPr>
              <w:t>Conduct a current and future skills gap analysis for the freight and logistics sector</w:t>
            </w:r>
          </w:p>
        </w:tc>
        <w:tc>
          <w:tcPr>
            <w:tcW w:w="1984" w:type="dxa"/>
          </w:tcPr>
          <w:p w14:paraId="7845C529" w14:textId="3B7E9A69" w:rsidR="004B0FC7" w:rsidRDefault="004B0FC7" w:rsidP="004B0FC7">
            <w:pPr>
              <w:cnfStyle w:val="000000010000" w:firstRow="0" w:lastRow="0" w:firstColumn="0" w:lastColumn="0" w:oddVBand="0" w:evenVBand="0" w:oddHBand="0" w:evenHBand="1" w:firstRowFirstColumn="0" w:firstRowLastColumn="0" w:lastRowFirstColumn="0" w:lastRowLastColumn="0"/>
            </w:pPr>
            <w:r>
              <w:t>Commonwealth</w:t>
            </w:r>
          </w:p>
        </w:tc>
        <w:tc>
          <w:tcPr>
            <w:tcW w:w="2694" w:type="dxa"/>
          </w:tcPr>
          <w:p w14:paraId="27A9BEDE" w14:textId="25403D8C" w:rsidR="004B0FC7" w:rsidRPr="00EE6687" w:rsidRDefault="004B0FC7" w:rsidP="004B0FC7">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bCs/>
                <w:iCs/>
                <w:color w:val="000000"/>
                <w:lang w:eastAsia="en-AU"/>
              </w:rPr>
            </w:pPr>
            <w:r w:rsidRPr="005075C9">
              <w:rPr>
                <w:rFonts w:ascii="Calibri" w:eastAsia="Times New Roman" w:hAnsi="Calibri" w:cs="Calibri"/>
                <w:iCs/>
                <w:color w:val="000000"/>
                <w:lang w:eastAsia="en-AU"/>
              </w:rPr>
              <w:t>Vic</w:t>
            </w:r>
          </w:p>
        </w:tc>
        <w:tc>
          <w:tcPr>
            <w:tcW w:w="1490" w:type="dxa"/>
          </w:tcPr>
          <w:p w14:paraId="360BFFA0" w14:textId="489D273C" w:rsidR="004B0FC7" w:rsidRDefault="004B0FC7" w:rsidP="004B0FC7">
            <w:pPr>
              <w:cnfStyle w:val="000000010000" w:firstRow="0" w:lastRow="0" w:firstColumn="0" w:lastColumn="0" w:oddVBand="0" w:evenVBand="0" w:oddHBand="0" w:evenHBand="1" w:firstRowFirstColumn="0" w:firstRowLastColumn="0" w:lastRowFirstColumn="0" w:lastRowLastColumn="0"/>
            </w:pPr>
            <w:r>
              <w:t>2026</w:t>
            </w:r>
          </w:p>
        </w:tc>
      </w:tr>
    </w:tbl>
    <w:p w14:paraId="38184B84" w14:textId="63AA899F" w:rsidR="00C673BE" w:rsidRDefault="0028673F" w:rsidP="00201CEB">
      <w:pPr>
        <w:pStyle w:val="Heading2"/>
      </w:pPr>
      <w:r>
        <w:lastRenderedPageBreak/>
        <w:t>Decarbonisation</w:t>
      </w:r>
    </w:p>
    <w:tbl>
      <w:tblPr>
        <w:tblStyle w:val="DefaultTable1"/>
        <w:tblW w:w="0" w:type="auto"/>
        <w:tblLook w:val="04A0" w:firstRow="1" w:lastRow="0" w:firstColumn="1" w:lastColumn="0" w:noHBand="0" w:noVBand="1"/>
      </w:tblPr>
      <w:tblGrid>
        <w:gridCol w:w="3686"/>
        <w:gridCol w:w="1984"/>
        <w:gridCol w:w="2694"/>
        <w:gridCol w:w="1490"/>
      </w:tblGrid>
      <w:tr w:rsidR="00C673BE" w14:paraId="260E13F2" w14:textId="77777777" w:rsidTr="00997A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39F88E4F" w14:textId="77777777" w:rsidR="00C673BE" w:rsidRDefault="00C673BE" w:rsidP="00997A1B">
            <w:r>
              <w:t>Action</w:t>
            </w:r>
          </w:p>
        </w:tc>
        <w:tc>
          <w:tcPr>
            <w:tcW w:w="1984" w:type="dxa"/>
          </w:tcPr>
          <w:p w14:paraId="0F7837A1" w14:textId="77777777" w:rsidR="00C673BE" w:rsidRDefault="00C673BE" w:rsidP="00997A1B">
            <w:pPr>
              <w:cnfStyle w:val="100000000000" w:firstRow="1" w:lastRow="0" w:firstColumn="0" w:lastColumn="0" w:oddVBand="0" w:evenVBand="0" w:oddHBand="0" w:evenHBand="0" w:firstRowFirstColumn="0" w:firstRowLastColumn="0" w:lastRowFirstColumn="0" w:lastRowLastColumn="0"/>
            </w:pPr>
            <w:r>
              <w:t>Lead</w:t>
            </w:r>
          </w:p>
        </w:tc>
        <w:tc>
          <w:tcPr>
            <w:tcW w:w="2694" w:type="dxa"/>
          </w:tcPr>
          <w:p w14:paraId="11FAE78B" w14:textId="77777777" w:rsidR="00C673BE" w:rsidRDefault="00C673BE" w:rsidP="00997A1B">
            <w:pPr>
              <w:cnfStyle w:val="100000000000" w:firstRow="1" w:lastRow="0" w:firstColumn="0" w:lastColumn="0" w:oddVBand="0" w:evenVBand="0" w:oddHBand="0" w:evenHBand="0" w:firstRowFirstColumn="0" w:firstRowLastColumn="0" w:lastRowFirstColumn="0" w:lastRowLastColumn="0"/>
            </w:pPr>
            <w:r>
              <w:t>Key Collaborators</w:t>
            </w:r>
          </w:p>
        </w:tc>
        <w:tc>
          <w:tcPr>
            <w:tcW w:w="1490" w:type="dxa"/>
          </w:tcPr>
          <w:p w14:paraId="619180FB" w14:textId="77777777" w:rsidR="00C673BE" w:rsidRDefault="00C673BE" w:rsidP="00997A1B">
            <w:pPr>
              <w:cnfStyle w:val="100000000000" w:firstRow="1" w:lastRow="0" w:firstColumn="0" w:lastColumn="0" w:oddVBand="0" w:evenVBand="0" w:oddHBand="0" w:evenHBand="0" w:firstRowFirstColumn="0" w:firstRowLastColumn="0" w:lastRowFirstColumn="0" w:lastRowLastColumn="0"/>
            </w:pPr>
            <w:r>
              <w:t>Timeframe</w:t>
            </w:r>
          </w:p>
        </w:tc>
      </w:tr>
      <w:tr w:rsidR="00C673BE" w14:paraId="6FF6EF71" w14:textId="77777777" w:rsidTr="00997A1B">
        <w:tc>
          <w:tcPr>
            <w:cnfStyle w:val="001000000000" w:firstRow="0" w:lastRow="0" w:firstColumn="1" w:lastColumn="0" w:oddVBand="0" w:evenVBand="0" w:oddHBand="0" w:evenHBand="0" w:firstRowFirstColumn="0" w:firstRowLastColumn="0" w:lastRowFirstColumn="0" w:lastRowLastColumn="0"/>
            <w:tcW w:w="3686" w:type="dxa"/>
          </w:tcPr>
          <w:p w14:paraId="052000F0" w14:textId="0EC75254" w:rsidR="00C673BE" w:rsidRPr="00C673BE" w:rsidRDefault="00C673BE" w:rsidP="00C673BE">
            <w:r w:rsidRPr="00C673BE">
              <w:rPr>
                <w:rFonts w:cstheme="minorHAnsi"/>
                <w:bCs/>
              </w:rPr>
              <w:t xml:space="preserve">Action 3.1: </w:t>
            </w:r>
            <w:r>
              <w:rPr>
                <w:rFonts w:cstheme="minorHAnsi"/>
                <w:bCs/>
              </w:rPr>
              <w:br/>
            </w:r>
            <w:r w:rsidRPr="00C673BE">
              <w:rPr>
                <w:b w:val="0"/>
              </w:rPr>
              <w:t>Develop government and industry frameworks to collaborate on the transition to net zero</w:t>
            </w:r>
          </w:p>
        </w:tc>
        <w:tc>
          <w:tcPr>
            <w:tcW w:w="1984" w:type="dxa"/>
          </w:tcPr>
          <w:p w14:paraId="37D09862" w14:textId="255A0230" w:rsidR="00C673BE" w:rsidRDefault="00C673BE" w:rsidP="00C673BE">
            <w:pPr>
              <w:cnfStyle w:val="000000000000" w:firstRow="0" w:lastRow="0" w:firstColumn="0" w:lastColumn="0" w:oddVBand="0" w:evenVBand="0" w:oddHBand="0" w:evenHBand="0" w:firstRowFirstColumn="0" w:firstRowLastColumn="0" w:lastRowFirstColumn="0" w:lastRowLastColumn="0"/>
            </w:pPr>
            <w:r>
              <w:t>Victoria</w:t>
            </w:r>
          </w:p>
        </w:tc>
        <w:tc>
          <w:tcPr>
            <w:tcW w:w="2694" w:type="dxa"/>
          </w:tcPr>
          <w:p w14:paraId="5872ACFC" w14:textId="1FE9F321" w:rsidR="00C673BE" w:rsidRPr="004B0FC7" w:rsidRDefault="00C673BE" w:rsidP="00C673B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Cs/>
                <w:color w:val="000000"/>
                <w:lang w:eastAsia="en-AU"/>
              </w:rPr>
            </w:pPr>
            <w:r w:rsidRPr="005075C9">
              <w:rPr>
                <w:rFonts w:ascii="Calibri" w:eastAsia="Times New Roman" w:hAnsi="Calibri" w:cs="Calibri"/>
                <w:bCs/>
                <w:iCs/>
                <w:color w:val="000000"/>
                <w:lang w:eastAsia="en-AU"/>
              </w:rPr>
              <w:t>All jurisdictions through the J</w:t>
            </w:r>
            <w:r>
              <w:rPr>
                <w:rFonts w:ascii="Calibri" w:eastAsia="Times New Roman" w:hAnsi="Calibri" w:cs="Calibri"/>
                <w:bCs/>
                <w:iCs/>
                <w:color w:val="000000"/>
                <w:lang w:eastAsia="en-AU"/>
              </w:rPr>
              <w:t>urisdictional Working Group</w:t>
            </w:r>
          </w:p>
        </w:tc>
        <w:tc>
          <w:tcPr>
            <w:tcW w:w="1490" w:type="dxa"/>
          </w:tcPr>
          <w:p w14:paraId="42632107" w14:textId="001446C5" w:rsidR="00C673BE" w:rsidRDefault="00C673BE" w:rsidP="00C673BE">
            <w:pPr>
              <w:cnfStyle w:val="000000000000" w:firstRow="0" w:lastRow="0" w:firstColumn="0" w:lastColumn="0" w:oddVBand="0" w:evenVBand="0" w:oddHBand="0" w:evenHBand="0" w:firstRowFirstColumn="0" w:firstRowLastColumn="0" w:lastRowFirstColumn="0" w:lastRowLastColumn="0"/>
            </w:pPr>
            <w:r>
              <w:t>2025-26</w:t>
            </w:r>
          </w:p>
        </w:tc>
      </w:tr>
      <w:tr w:rsidR="00C673BE" w14:paraId="3C6A1CB5" w14:textId="77777777" w:rsidTr="00997A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6F4CC373" w14:textId="6B1674A1" w:rsidR="00C673BE" w:rsidRPr="00C673BE" w:rsidRDefault="00C673BE" w:rsidP="00C673BE">
            <w:r w:rsidRPr="00C673BE">
              <w:rPr>
                <w:rFonts w:cstheme="minorHAnsi"/>
                <w:bCs/>
              </w:rPr>
              <w:t xml:space="preserve">Action 3.2: </w:t>
            </w:r>
            <w:r>
              <w:rPr>
                <w:rFonts w:cstheme="minorHAnsi"/>
                <w:bCs/>
              </w:rPr>
              <w:br/>
            </w:r>
            <w:r w:rsidRPr="00C673BE">
              <w:rPr>
                <w:rFonts w:cstheme="minorHAnsi"/>
                <w:b w:val="0"/>
              </w:rPr>
              <w:t>Support development of a domestic low carbon liquid fuels industry</w:t>
            </w:r>
          </w:p>
        </w:tc>
        <w:tc>
          <w:tcPr>
            <w:tcW w:w="1984" w:type="dxa"/>
          </w:tcPr>
          <w:p w14:paraId="6EF3074A" w14:textId="77777777" w:rsidR="00C673BE" w:rsidRDefault="00C673BE" w:rsidP="00C673BE">
            <w:pPr>
              <w:cnfStyle w:val="000000010000" w:firstRow="0" w:lastRow="0" w:firstColumn="0" w:lastColumn="0" w:oddVBand="0" w:evenVBand="0" w:oddHBand="0" w:evenHBand="1" w:firstRowFirstColumn="0" w:firstRowLastColumn="0" w:lastRowFirstColumn="0" w:lastRowLastColumn="0"/>
            </w:pPr>
            <w:r>
              <w:t>Commonwealth</w:t>
            </w:r>
          </w:p>
        </w:tc>
        <w:tc>
          <w:tcPr>
            <w:tcW w:w="2694" w:type="dxa"/>
          </w:tcPr>
          <w:p w14:paraId="7C6B8D1A" w14:textId="59954B81" w:rsidR="00C673BE" w:rsidRPr="004B0FC7" w:rsidRDefault="00C673BE" w:rsidP="00C673BE">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iCs/>
                <w:color w:val="000000"/>
                <w:lang w:eastAsia="en-AU"/>
              </w:rPr>
            </w:pPr>
            <w:r w:rsidRPr="005075C9">
              <w:rPr>
                <w:rFonts w:ascii="Calibri" w:eastAsia="Times New Roman" w:hAnsi="Calibri" w:cs="Calibri"/>
                <w:iCs/>
                <w:color w:val="000000"/>
                <w:lang w:eastAsia="en-AU"/>
              </w:rPr>
              <w:t>Nil –</w:t>
            </w:r>
            <w:r>
              <w:rPr>
                <w:rFonts w:ascii="Calibri" w:eastAsia="Times New Roman" w:hAnsi="Calibri" w:cs="Calibri"/>
                <w:iCs/>
                <w:color w:val="000000"/>
                <w:lang w:eastAsia="en-AU"/>
              </w:rPr>
              <w:t xml:space="preserve"> </w:t>
            </w:r>
            <w:r w:rsidRPr="005075C9">
              <w:rPr>
                <w:rFonts w:ascii="Calibri" w:eastAsia="Times New Roman" w:hAnsi="Calibri" w:cs="Calibri"/>
                <w:iCs/>
                <w:color w:val="000000"/>
                <w:lang w:eastAsia="en-AU"/>
              </w:rPr>
              <w:t>links in with 3.1</w:t>
            </w:r>
          </w:p>
        </w:tc>
        <w:tc>
          <w:tcPr>
            <w:tcW w:w="1490" w:type="dxa"/>
          </w:tcPr>
          <w:p w14:paraId="45111BF3" w14:textId="48B06C9C" w:rsidR="00C673BE" w:rsidRDefault="00C673BE" w:rsidP="00C673BE">
            <w:pPr>
              <w:cnfStyle w:val="000000010000" w:firstRow="0" w:lastRow="0" w:firstColumn="0" w:lastColumn="0" w:oddVBand="0" w:evenVBand="0" w:oddHBand="0" w:evenHBand="1" w:firstRowFirstColumn="0" w:firstRowLastColumn="0" w:lastRowFirstColumn="0" w:lastRowLastColumn="0"/>
            </w:pPr>
            <w:r>
              <w:t>Ongoing</w:t>
            </w:r>
          </w:p>
        </w:tc>
      </w:tr>
      <w:tr w:rsidR="00C673BE" w14:paraId="011F23CF" w14:textId="77777777" w:rsidTr="00997A1B">
        <w:tc>
          <w:tcPr>
            <w:cnfStyle w:val="001000000000" w:firstRow="0" w:lastRow="0" w:firstColumn="1" w:lastColumn="0" w:oddVBand="0" w:evenVBand="0" w:oddHBand="0" w:evenHBand="0" w:firstRowFirstColumn="0" w:firstRowLastColumn="0" w:lastRowFirstColumn="0" w:lastRowLastColumn="0"/>
            <w:tcW w:w="3686" w:type="dxa"/>
          </w:tcPr>
          <w:p w14:paraId="4DDC2704" w14:textId="0161DDC8" w:rsidR="00C673BE" w:rsidRPr="00C673BE" w:rsidRDefault="00C673BE" w:rsidP="00C673BE">
            <w:r w:rsidRPr="00C673BE">
              <w:rPr>
                <w:rFonts w:eastAsia="Times New Roman"/>
              </w:rPr>
              <w:t xml:space="preserve">Action 3.3: </w:t>
            </w:r>
            <w:r>
              <w:rPr>
                <w:rFonts w:eastAsia="Times New Roman"/>
              </w:rPr>
              <w:br/>
            </w:r>
            <w:r w:rsidRPr="00C673BE">
              <w:rPr>
                <w:rFonts w:eastAsia="Times New Roman"/>
                <w:b w:val="0"/>
              </w:rPr>
              <w:t>Conduct safety research on batteries and zero emission power technologies for freight vehicles and locomotives</w:t>
            </w:r>
          </w:p>
        </w:tc>
        <w:tc>
          <w:tcPr>
            <w:tcW w:w="1984" w:type="dxa"/>
          </w:tcPr>
          <w:p w14:paraId="11D1A770" w14:textId="77777777" w:rsidR="00C673BE" w:rsidRDefault="00C673BE" w:rsidP="00C673BE">
            <w:pPr>
              <w:cnfStyle w:val="000000000000" w:firstRow="0" w:lastRow="0" w:firstColumn="0" w:lastColumn="0" w:oddVBand="0" w:evenVBand="0" w:oddHBand="0" w:evenHBand="0" w:firstRowFirstColumn="0" w:firstRowLastColumn="0" w:lastRowFirstColumn="0" w:lastRowLastColumn="0"/>
            </w:pPr>
            <w:r>
              <w:t>Commonwealth</w:t>
            </w:r>
          </w:p>
        </w:tc>
        <w:tc>
          <w:tcPr>
            <w:tcW w:w="2694" w:type="dxa"/>
          </w:tcPr>
          <w:p w14:paraId="33112524" w14:textId="3766AFA4" w:rsidR="00C673BE" w:rsidRPr="004B0FC7" w:rsidRDefault="00C673BE" w:rsidP="00C673BE">
            <w:pPr>
              <w:pStyle w:val="Bullet1"/>
              <w:numPr>
                <w:ilvl w:val="0"/>
                <w:numId w:val="0"/>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Cs/>
                <w:color w:val="000000"/>
                <w:lang w:eastAsia="en-AU"/>
              </w:rPr>
            </w:pPr>
            <w:r w:rsidRPr="005075C9">
              <w:rPr>
                <w:rFonts w:ascii="Calibri" w:eastAsia="Times New Roman" w:hAnsi="Calibri" w:cs="Calibri"/>
                <w:iCs/>
                <w:color w:val="000000"/>
                <w:lang w:eastAsia="en-AU"/>
              </w:rPr>
              <w:t>NSW</w:t>
            </w:r>
            <w:r>
              <w:rPr>
                <w:rFonts w:ascii="Calibri" w:eastAsia="Times New Roman" w:hAnsi="Calibri" w:cs="Calibri"/>
                <w:iCs/>
                <w:color w:val="000000"/>
                <w:lang w:val="en-AU" w:eastAsia="en-AU"/>
              </w:rPr>
              <w:t xml:space="preserve">, </w:t>
            </w:r>
            <w:r>
              <w:rPr>
                <w:lang w:val="en-AU"/>
              </w:rPr>
              <w:t>Vic</w:t>
            </w:r>
          </w:p>
        </w:tc>
        <w:tc>
          <w:tcPr>
            <w:tcW w:w="1490" w:type="dxa"/>
          </w:tcPr>
          <w:p w14:paraId="33CAAB6C" w14:textId="24A45B24" w:rsidR="00C673BE" w:rsidRDefault="00C673BE" w:rsidP="00C673BE">
            <w:pPr>
              <w:cnfStyle w:val="000000000000" w:firstRow="0" w:lastRow="0" w:firstColumn="0" w:lastColumn="0" w:oddVBand="0" w:evenVBand="0" w:oddHBand="0" w:evenHBand="0" w:firstRowFirstColumn="0" w:firstRowLastColumn="0" w:lastRowFirstColumn="0" w:lastRowLastColumn="0"/>
            </w:pPr>
            <w:r>
              <w:t>2025-26</w:t>
            </w:r>
          </w:p>
        </w:tc>
      </w:tr>
    </w:tbl>
    <w:p w14:paraId="03C5318E" w14:textId="25607EEA" w:rsidR="0028673F" w:rsidRDefault="0028673F" w:rsidP="00201CEB">
      <w:pPr>
        <w:pStyle w:val="Heading2"/>
      </w:pPr>
      <w:r>
        <w:t>Data</w:t>
      </w:r>
    </w:p>
    <w:tbl>
      <w:tblPr>
        <w:tblStyle w:val="DefaultTable1"/>
        <w:tblW w:w="0" w:type="auto"/>
        <w:tblLook w:val="04A0" w:firstRow="1" w:lastRow="0" w:firstColumn="1" w:lastColumn="0" w:noHBand="0" w:noVBand="1"/>
      </w:tblPr>
      <w:tblGrid>
        <w:gridCol w:w="3686"/>
        <w:gridCol w:w="1984"/>
        <w:gridCol w:w="2694"/>
        <w:gridCol w:w="1490"/>
      </w:tblGrid>
      <w:tr w:rsidR="0028673F" w14:paraId="1DB252D5" w14:textId="77777777" w:rsidTr="00997A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48F05389" w14:textId="7FD1856A" w:rsidR="0028673F" w:rsidRPr="00C673BE" w:rsidRDefault="0028673F" w:rsidP="0028673F">
            <w:pPr>
              <w:rPr>
                <w:rFonts w:eastAsia="Times New Roman"/>
              </w:rPr>
            </w:pPr>
            <w:r>
              <w:t>Action</w:t>
            </w:r>
          </w:p>
        </w:tc>
        <w:tc>
          <w:tcPr>
            <w:tcW w:w="1984" w:type="dxa"/>
          </w:tcPr>
          <w:p w14:paraId="46C19306" w14:textId="23F83549" w:rsidR="0028673F" w:rsidRDefault="0028673F" w:rsidP="0028673F">
            <w:pPr>
              <w:cnfStyle w:val="100000000000" w:firstRow="1" w:lastRow="0" w:firstColumn="0" w:lastColumn="0" w:oddVBand="0" w:evenVBand="0" w:oddHBand="0" w:evenHBand="0" w:firstRowFirstColumn="0" w:firstRowLastColumn="0" w:lastRowFirstColumn="0" w:lastRowLastColumn="0"/>
            </w:pPr>
            <w:r>
              <w:t>Lead</w:t>
            </w:r>
          </w:p>
        </w:tc>
        <w:tc>
          <w:tcPr>
            <w:tcW w:w="2694" w:type="dxa"/>
          </w:tcPr>
          <w:p w14:paraId="0B32285F" w14:textId="0420FC14" w:rsidR="0028673F" w:rsidRPr="005075C9" w:rsidRDefault="0028673F" w:rsidP="0028673F">
            <w:pPr>
              <w:pStyle w:val="Bullet1"/>
              <w:numPr>
                <w:ilvl w:val="0"/>
                <w:numId w:val="0"/>
              </w:num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iCs/>
                <w:color w:val="000000"/>
                <w:lang w:eastAsia="en-AU"/>
              </w:rPr>
            </w:pPr>
            <w:r>
              <w:t>Key Collaborators</w:t>
            </w:r>
          </w:p>
        </w:tc>
        <w:tc>
          <w:tcPr>
            <w:tcW w:w="1490" w:type="dxa"/>
          </w:tcPr>
          <w:p w14:paraId="1E437A2A" w14:textId="0073347B" w:rsidR="0028673F" w:rsidRDefault="0028673F" w:rsidP="0028673F">
            <w:pPr>
              <w:cnfStyle w:val="100000000000" w:firstRow="1" w:lastRow="0" w:firstColumn="0" w:lastColumn="0" w:oddVBand="0" w:evenVBand="0" w:oddHBand="0" w:evenHBand="0" w:firstRowFirstColumn="0" w:firstRowLastColumn="0" w:lastRowFirstColumn="0" w:lastRowLastColumn="0"/>
            </w:pPr>
            <w:r>
              <w:t>Timeframe</w:t>
            </w:r>
          </w:p>
        </w:tc>
      </w:tr>
      <w:tr w:rsidR="0028673F" w14:paraId="05D8CC5B" w14:textId="77777777" w:rsidTr="00C673BE">
        <w:tc>
          <w:tcPr>
            <w:cnfStyle w:val="001000000000" w:firstRow="0" w:lastRow="0" w:firstColumn="1" w:lastColumn="0" w:oddVBand="0" w:evenVBand="0" w:oddHBand="0" w:evenHBand="0" w:firstRowFirstColumn="0" w:firstRowLastColumn="0" w:lastRowFirstColumn="0" w:lastRowLastColumn="0"/>
            <w:tcW w:w="3686" w:type="dxa"/>
          </w:tcPr>
          <w:p w14:paraId="40161189" w14:textId="7641A247" w:rsidR="00C673BE" w:rsidRPr="00C673BE" w:rsidRDefault="00C673BE" w:rsidP="00C673BE">
            <w:r w:rsidRPr="007D28EF">
              <w:t xml:space="preserve">Action 4.1: </w:t>
            </w:r>
            <w:r>
              <w:br/>
            </w:r>
            <w:r w:rsidRPr="00C673BE">
              <w:rPr>
                <w:b w:val="0"/>
              </w:rPr>
              <w:t>Develop a data development plan to support the National Freight Data Hub</w:t>
            </w:r>
          </w:p>
        </w:tc>
        <w:tc>
          <w:tcPr>
            <w:tcW w:w="1984" w:type="dxa"/>
          </w:tcPr>
          <w:p w14:paraId="29AB9175" w14:textId="4851E8DE" w:rsidR="00C673BE" w:rsidRDefault="00C673BE" w:rsidP="00C673BE">
            <w:pPr>
              <w:cnfStyle w:val="000000000000" w:firstRow="0" w:lastRow="0" w:firstColumn="0" w:lastColumn="0" w:oddVBand="0" w:evenVBand="0" w:oddHBand="0" w:evenHBand="0" w:firstRowFirstColumn="0" w:firstRowLastColumn="0" w:lastRowFirstColumn="0" w:lastRowLastColumn="0"/>
            </w:pPr>
            <w:r>
              <w:t xml:space="preserve">Commonwealth </w:t>
            </w:r>
          </w:p>
        </w:tc>
        <w:tc>
          <w:tcPr>
            <w:tcW w:w="2694" w:type="dxa"/>
          </w:tcPr>
          <w:p w14:paraId="35F8036E" w14:textId="68993619" w:rsidR="00C673BE" w:rsidRPr="004B0FC7" w:rsidRDefault="00C673BE" w:rsidP="00C673B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Cs/>
                <w:color w:val="000000"/>
                <w:lang w:eastAsia="en-AU"/>
              </w:rPr>
            </w:pPr>
            <w:r w:rsidRPr="00DA3A0C">
              <w:rPr>
                <w:rFonts w:ascii="Calibri" w:eastAsia="Times New Roman" w:hAnsi="Calibri" w:cs="Calibri"/>
                <w:iCs/>
                <w:color w:val="000000"/>
                <w:lang w:eastAsia="en-AU"/>
              </w:rPr>
              <w:t>NSW</w:t>
            </w:r>
            <w:r>
              <w:rPr>
                <w:rFonts w:ascii="Calibri" w:eastAsia="Times New Roman" w:hAnsi="Calibri" w:cs="Calibri"/>
                <w:iCs/>
                <w:color w:val="000000"/>
                <w:lang w:eastAsia="en-AU"/>
              </w:rPr>
              <w:t xml:space="preserve">, </w:t>
            </w:r>
            <w:r w:rsidRPr="00DA3A0C">
              <w:rPr>
                <w:rFonts w:ascii="Calibri" w:eastAsia="Times New Roman" w:hAnsi="Calibri" w:cs="Calibri"/>
                <w:iCs/>
                <w:color w:val="000000"/>
                <w:lang w:eastAsia="en-AU"/>
              </w:rPr>
              <w:t>Qld</w:t>
            </w:r>
            <w:r>
              <w:rPr>
                <w:rFonts w:ascii="Calibri" w:eastAsia="Times New Roman" w:hAnsi="Calibri" w:cs="Calibri"/>
                <w:iCs/>
                <w:color w:val="000000"/>
                <w:lang w:eastAsia="en-AU"/>
              </w:rPr>
              <w:t xml:space="preserve">, </w:t>
            </w:r>
            <w:r w:rsidRPr="00DA3A0C">
              <w:rPr>
                <w:rFonts w:ascii="Calibri" w:eastAsia="Times New Roman" w:hAnsi="Calibri" w:cs="Calibri"/>
                <w:iCs/>
                <w:color w:val="000000"/>
                <w:lang w:eastAsia="en-AU"/>
              </w:rPr>
              <w:t>Vi</w:t>
            </w:r>
            <w:r>
              <w:rPr>
                <w:rFonts w:ascii="Calibri" w:eastAsia="Times New Roman" w:hAnsi="Calibri" w:cs="Calibri"/>
                <w:iCs/>
                <w:color w:val="000000"/>
                <w:lang w:eastAsia="en-AU"/>
              </w:rPr>
              <w:t>c, SA</w:t>
            </w:r>
          </w:p>
        </w:tc>
        <w:tc>
          <w:tcPr>
            <w:tcW w:w="1490" w:type="dxa"/>
          </w:tcPr>
          <w:p w14:paraId="06A86935" w14:textId="0C4132B3" w:rsidR="00C673BE" w:rsidRDefault="00C673BE" w:rsidP="00C673BE">
            <w:pPr>
              <w:cnfStyle w:val="000000000000" w:firstRow="0" w:lastRow="0" w:firstColumn="0" w:lastColumn="0" w:oddVBand="0" w:evenVBand="0" w:oddHBand="0" w:evenHBand="0" w:firstRowFirstColumn="0" w:firstRowLastColumn="0" w:lastRowFirstColumn="0" w:lastRowLastColumn="0"/>
            </w:pPr>
            <w:r>
              <w:t>2025-26</w:t>
            </w:r>
          </w:p>
        </w:tc>
      </w:tr>
      <w:tr w:rsidR="00C673BE" w14:paraId="794930D9" w14:textId="77777777" w:rsidTr="00C673B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69247814" w14:textId="7C434600" w:rsidR="00C673BE" w:rsidRPr="00C673BE" w:rsidRDefault="00C673BE" w:rsidP="00C673BE">
            <w:r w:rsidRPr="007D28EF">
              <w:t xml:space="preserve">Action 4.2: </w:t>
            </w:r>
            <w:r>
              <w:br/>
            </w:r>
            <w:r w:rsidRPr="00C673BE">
              <w:rPr>
                <w:b w:val="0"/>
              </w:rPr>
              <w:t>Quantify the economic significance of the supply chain and freight logistics industry to Australia</w:t>
            </w:r>
          </w:p>
        </w:tc>
        <w:tc>
          <w:tcPr>
            <w:tcW w:w="1984" w:type="dxa"/>
          </w:tcPr>
          <w:p w14:paraId="371F79DF" w14:textId="60910B1D" w:rsidR="00C673BE" w:rsidRDefault="00C673BE" w:rsidP="00C673BE">
            <w:pPr>
              <w:cnfStyle w:val="000000010000" w:firstRow="0" w:lastRow="0" w:firstColumn="0" w:lastColumn="0" w:oddVBand="0" w:evenVBand="0" w:oddHBand="0" w:evenHBand="1" w:firstRowFirstColumn="0" w:firstRowLastColumn="0" w:lastRowFirstColumn="0" w:lastRowLastColumn="0"/>
            </w:pPr>
            <w:r>
              <w:t>NSW</w:t>
            </w:r>
          </w:p>
        </w:tc>
        <w:tc>
          <w:tcPr>
            <w:tcW w:w="2694" w:type="dxa"/>
          </w:tcPr>
          <w:p w14:paraId="4D933B59" w14:textId="6D210081" w:rsidR="00C673BE" w:rsidRPr="004B0FC7" w:rsidRDefault="00C673BE" w:rsidP="00C673BE">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iCs/>
                <w:color w:val="000000"/>
                <w:lang w:eastAsia="en-AU"/>
              </w:rPr>
            </w:pPr>
            <w:r w:rsidRPr="00DA3A0C">
              <w:rPr>
                <w:rFonts w:ascii="Calibri" w:eastAsia="Times New Roman" w:hAnsi="Calibri" w:cs="Calibri"/>
                <w:bCs/>
                <w:iCs/>
                <w:color w:val="000000"/>
                <w:lang w:eastAsia="en-AU"/>
              </w:rPr>
              <w:t>All jurisdictions through the J</w:t>
            </w:r>
            <w:r>
              <w:rPr>
                <w:rFonts w:ascii="Calibri" w:eastAsia="Times New Roman" w:hAnsi="Calibri" w:cs="Calibri"/>
                <w:bCs/>
                <w:iCs/>
                <w:color w:val="000000"/>
                <w:lang w:eastAsia="en-AU"/>
              </w:rPr>
              <w:t xml:space="preserve">urisdictional </w:t>
            </w:r>
            <w:r w:rsidRPr="00DA3A0C">
              <w:rPr>
                <w:rFonts w:ascii="Calibri" w:eastAsia="Times New Roman" w:hAnsi="Calibri" w:cs="Calibri"/>
                <w:bCs/>
                <w:iCs/>
                <w:color w:val="000000"/>
                <w:lang w:eastAsia="en-AU"/>
              </w:rPr>
              <w:t>W</w:t>
            </w:r>
            <w:r>
              <w:rPr>
                <w:rFonts w:ascii="Calibri" w:eastAsia="Times New Roman" w:hAnsi="Calibri" w:cs="Calibri"/>
                <w:bCs/>
                <w:iCs/>
                <w:color w:val="000000"/>
                <w:lang w:eastAsia="en-AU"/>
              </w:rPr>
              <w:t xml:space="preserve">orking </w:t>
            </w:r>
            <w:r w:rsidRPr="00DA3A0C">
              <w:rPr>
                <w:rFonts w:ascii="Calibri" w:eastAsia="Times New Roman" w:hAnsi="Calibri" w:cs="Calibri"/>
                <w:bCs/>
                <w:iCs/>
                <w:color w:val="000000"/>
                <w:lang w:eastAsia="en-AU"/>
              </w:rPr>
              <w:t>G</w:t>
            </w:r>
            <w:r>
              <w:rPr>
                <w:rFonts w:ascii="Calibri" w:eastAsia="Times New Roman" w:hAnsi="Calibri" w:cs="Calibri"/>
                <w:bCs/>
                <w:iCs/>
                <w:color w:val="000000"/>
                <w:lang w:eastAsia="en-AU"/>
              </w:rPr>
              <w:t>roup</w:t>
            </w:r>
          </w:p>
        </w:tc>
        <w:tc>
          <w:tcPr>
            <w:tcW w:w="1490" w:type="dxa"/>
          </w:tcPr>
          <w:p w14:paraId="2458AF48" w14:textId="0D67B546" w:rsidR="00C673BE" w:rsidRDefault="00C673BE" w:rsidP="00C673BE">
            <w:pPr>
              <w:cnfStyle w:val="000000010000" w:firstRow="0" w:lastRow="0" w:firstColumn="0" w:lastColumn="0" w:oddVBand="0" w:evenVBand="0" w:oddHBand="0" w:evenHBand="1" w:firstRowFirstColumn="0" w:firstRowLastColumn="0" w:lastRowFirstColumn="0" w:lastRowLastColumn="0"/>
            </w:pPr>
            <w:r>
              <w:t>2025</w:t>
            </w:r>
          </w:p>
        </w:tc>
      </w:tr>
      <w:tr w:rsidR="0028673F" w14:paraId="5A17B4C0" w14:textId="77777777" w:rsidTr="00C673BE">
        <w:tc>
          <w:tcPr>
            <w:cnfStyle w:val="001000000000" w:firstRow="0" w:lastRow="0" w:firstColumn="1" w:lastColumn="0" w:oddVBand="0" w:evenVBand="0" w:oddHBand="0" w:evenHBand="0" w:firstRowFirstColumn="0" w:firstRowLastColumn="0" w:lastRowFirstColumn="0" w:lastRowLastColumn="0"/>
            <w:tcW w:w="3686" w:type="dxa"/>
          </w:tcPr>
          <w:p w14:paraId="07E3F0EB" w14:textId="70FCBA07" w:rsidR="00C673BE" w:rsidRPr="00C673BE" w:rsidRDefault="00C673BE" w:rsidP="00C673BE">
            <w:r w:rsidRPr="007D28EF">
              <w:t xml:space="preserve">Action 4.3: </w:t>
            </w:r>
            <w:r>
              <w:br/>
            </w:r>
            <w:r w:rsidRPr="00C673BE">
              <w:rPr>
                <w:b w:val="0"/>
              </w:rPr>
              <w:t>Develop additional key performance measures for future inclusion in the Strategy</w:t>
            </w:r>
          </w:p>
        </w:tc>
        <w:tc>
          <w:tcPr>
            <w:tcW w:w="1984" w:type="dxa"/>
          </w:tcPr>
          <w:p w14:paraId="4E9E130E" w14:textId="77777777" w:rsidR="00C673BE" w:rsidRDefault="00C673BE" w:rsidP="00C673BE">
            <w:pPr>
              <w:cnfStyle w:val="000000000000" w:firstRow="0" w:lastRow="0" w:firstColumn="0" w:lastColumn="0" w:oddVBand="0" w:evenVBand="0" w:oddHBand="0" w:evenHBand="0" w:firstRowFirstColumn="0" w:firstRowLastColumn="0" w:lastRowFirstColumn="0" w:lastRowLastColumn="0"/>
            </w:pPr>
            <w:r>
              <w:t>Commonwealth</w:t>
            </w:r>
          </w:p>
        </w:tc>
        <w:tc>
          <w:tcPr>
            <w:tcW w:w="2694" w:type="dxa"/>
          </w:tcPr>
          <w:p w14:paraId="214DD5F5" w14:textId="31631058" w:rsidR="00C673BE" w:rsidRPr="004B0FC7" w:rsidRDefault="00C673BE" w:rsidP="00C673B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Cs/>
                <w:color w:val="000000"/>
                <w:lang w:eastAsia="en-AU"/>
              </w:rPr>
            </w:pPr>
            <w:r w:rsidRPr="00DA3A0C">
              <w:rPr>
                <w:rFonts w:ascii="Calibri" w:eastAsia="Times New Roman" w:hAnsi="Calibri" w:cs="Calibri"/>
                <w:iCs/>
                <w:color w:val="000000"/>
                <w:lang w:eastAsia="en-AU"/>
              </w:rPr>
              <w:t>NSW</w:t>
            </w:r>
            <w:r>
              <w:rPr>
                <w:rFonts w:ascii="Calibri" w:eastAsia="Times New Roman" w:hAnsi="Calibri" w:cs="Calibri"/>
                <w:iCs/>
                <w:color w:val="000000"/>
                <w:lang w:eastAsia="en-AU"/>
              </w:rPr>
              <w:t xml:space="preserve">, </w:t>
            </w:r>
            <w:r w:rsidRPr="00DA3A0C">
              <w:rPr>
                <w:rFonts w:ascii="Calibri" w:eastAsia="Times New Roman" w:hAnsi="Calibri" w:cs="Calibri"/>
                <w:iCs/>
                <w:color w:val="000000"/>
                <w:lang w:eastAsia="en-AU"/>
              </w:rPr>
              <w:t>Qld</w:t>
            </w:r>
            <w:r>
              <w:rPr>
                <w:rFonts w:ascii="Calibri" w:eastAsia="Times New Roman" w:hAnsi="Calibri" w:cs="Calibri"/>
                <w:iCs/>
                <w:color w:val="000000"/>
                <w:lang w:eastAsia="en-AU"/>
              </w:rPr>
              <w:t xml:space="preserve">, </w:t>
            </w:r>
            <w:r w:rsidRPr="00DA3A0C">
              <w:rPr>
                <w:rFonts w:ascii="Calibri" w:eastAsia="Times New Roman" w:hAnsi="Calibri" w:cs="Calibri"/>
                <w:iCs/>
                <w:color w:val="000000"/>
                <w:lang w:eastAsia="en-AU"/>
              </w:rPr>
              <w:t>Vic</w:t>
            </w:r>
            <w:r>
              <w:rPr>
                <w:rFonts w:ascii="Calibri" w:eastAsia="Times New Roman" w:hAnsi="Calibri" w:cs="Calibri"/>
                <w:iCs/>
                <w:color w:val="000000"/>
                <w:lang w:eastAsia="en-AU"/>
              </w:rPr>
              <w:t xml:space="preserve">, </w:t>
            </w:r>
            <w:r w:rsidRPr="00DA3A0C">
              <w:rPr>
                <w:rFonts w:ascii="Calibri" w:eastAsia="Times New Roman" w:hAnsi="Calibri" w:cs="Calibri"/>
                <w:iCs/>
                <w:color w:val="000000"/>
                <w:lang w:eastAsia="en-AU"/>
              </w:rPr>
              <w:t>NT</w:t>
            </w:r>
            <w:r>
              <w:rPr>
                <w:rFonts w:ascii="Calibri" w:eastAsia="Times New Roman" w:hAnsi="Calibri" w:cs="Calibri"/>
                <w:iCs/>
                <w:color w:val="000000"/>
                <w:lang w:eastAsia="en-AU"/>
              </w:rPr>
              <w:t>, SA</w:t>
            </w:r>
          </w:p>
        </w:tc>
        <w:tc>
          <w:tcPr>
            <w:tcW w:w="1490" w:type="dxa"/>
          </w:tcPr>
          <w:p w14:paraId="4215D1A0" w14:textId="58ABE399" w:rsidR="00C673BE" w:rsidRDefault="00C673BE" w:rsidP="00C673BE">
            <w:pPr>
              <w:cnfStyle w:val="000000000000" w:firstRow="0" w:lastRow="0" w:firstColumn="0" w:lastColumn="0" w:oddVBand="0" w:evenVBand="0" w:oddHBand="0" w:evenHBand="0" w:firstRowFirstColumn="0" w:firstRowLastColumn="0" w:lastRowFirstColumn="0" w:lastRowLastColumn="0"/>
            </w:pPr>
            <w:r>
              <w:t>2026-27</w:t>
            </w:r>
          </w:p>
        </w:tc>
      </w:tr>
      <w:bookmarkEnd w:id="6"/>
    </w:tbl>
    <w:p w14:paraId="1F288A7A" w14:textId="447A6442" w:rsidR="00806F8A" w:rsidRDefault="00806F8A">
      <w:pPr>
        <w:suppressAutoHyphens w:val="0"/>
        <w:sectPr w:rsidR="00806F8A" w:rsidSect="00806F8A">
          <w:headerReference w:type="default" r:id="rId25"/>
          <w:headerReference w:type="first" r:id="rId26"/>
          <w:pgSz w:w="11906" w:h="16838" w:code="9"/>
          <w:pgMar w:top="1021" w:right="1021" w:bottom="1021" w:left="1021" w:header="340" w:footer="397" w:gutter="0"/>
          <w:cols w:space="708"/>
          <w:docGrid w:linePitch="360"/>
        </w:sectPr>
      </w:pPr>
    </w:p>
    <w:p w14:paraId="3D579646" w14:textId="77777777" w:rsidR="001A40CB" w:rsidRDefault="00806F8A" w:rsidP="000272DA">
      <w:pPr>
        <w:rPr>
          <w:b/>
          <w:color w:val="081E3E" w:themeColor="text2"/>
          <w:sz w:val="28"/>
        </w:rPr>
      </w:pPr>
      <w:r w:rsidRPr="00806F8A">
        <w:rPr>
          <w:b/>
          <w:color w:val="081E3E" w:themeColor="text2"/>
          <w:sz w:val="28"/>
        </w:rPr>
        <w:lastRenderedPageBreak/>
        <w:t>Actions Mapping Table</w:t>
      </w:r>
    </w:p>
    <w:p w14:paraId="3B735DAF" w14:textId="77777777" w:rsidR="000272DA" w:rsidRDefault="000272DA" w:rsidP="000272DA">
      <w:pPr>
        <w:spacing w:before="0" w:after="0"/>
        <w:rPr>
          <w:rStyle w:val="Heading3Char"/>
          <w:color w:val="49515C" w:themeColor="accent4" w:themeShade="80"/>
          <w:sz w:val="28"/>
        </w:rPr>
        <w:sectPr w:rsidR="000272DA" w:rsidSect="001A40CB">
          <w:pgSz w:w="16838" w:h="11906" w:orient="landscape" w:code="9"/>
          <w:pgMar w:top="1021" w:right="1021" w:bottom="1021" w:left="1021" w:header="340" w:footer="397" w:gutter="0"/>
          <w:cols w:num="5" w:space="0"/>
          <w:docGrid w:linePitch="360"/>
        </w:sectPr>
      </w:pPr>
    </w:p>
    <w:p w14:paraId="647C7C07" w14:textId="19E2C9E6" w:rsidR="000272DA" w:rsidRPr="00806F8A" w:rsidRDefault="001A40CB" w:rsidP="000272DA">
      <w:pPr>
        <w:spacing w:before="0" w:after="0"/>
        <w:rPr>
          <w:color w:val="49515C" w:themeColor="accent4" w:themeShade="80"/>
          <w:sz w:val="20"/>
        </w:rPr>
      </w:pPr>
      <w:r>
        <w:rPr>
          <w:rStyle w:val="Heading3Char"/>
          <w:color w:val="49515C" w:themeColor="accent4" w:themeShade="80"/>
          <w:sz w:val="28"/>
        </w:rPr>
        <w:t xml:space="preserve">Legend: </w:t>
      </w:r>
      <w:r w:rsidR="000272DA" w:rsidRPr="00806F8A">
        <w:rPr>
          <w:rFonts w:ascii="Calibri" w:eastAsia="Calibri" w:hAnsi="Calibri" w:cs="Times New Roman"/>
          <w:noProof/>
          <w:color w:val="49515C" w:themeColor="accent4" w:themeShade="80"/>
          <w:sz w:val="20"/>
        </w:rPr>
        <w:drawing>
          <wp:inline distT="0" distB="0" distL="0" distR="0" wp14:anchorId="16AEF54F" wp14:editId="5105863B">
            <wp:extent cx="288000" cy="288000"/>
            <wp:effectExtent l="0" t="0" r="0" b="0"/>
            <wp:docPr id="30" name="Graphic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inglegear.svg"/>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288000" cy="288000"/>
                    </a:xfrm>
                    <a:prstGeom prst="rect">
                      <a:avLst/>
                    </a:prstGeom>
                  </pic:spPr>
                </pic:pic>
              </a:graphicData>
            </a:graphic>
          </wp:inline>
        </w:drawing>
      </w:r>
      <w:r w:rsidR="000272DA" w:rsidRPr="00806F8A">
        <w:rPr>
          <w:rStyle w:val="Heading3Char"/>
          <w:color w:val="49515C" w:themeColor="accent4" w:themeShade="80"/>
          <w:sz w:val="28"/>
        </w:rPr>
        <w:tab/>
        <w:t>Productivity</w:t>
      </w:r>
      <w:r>
        <w:rPr>
          <w:rStyle w:val="Heading3Char"/>
          <w:color w:val="49515C" w:themeColor="accent4" w:themeShade="80"/>
          <w:sz w:val="28"/>
        </w:rPr>
        <w:t xml:space="preserve"> </w:t>
      </w:r>
      <w:r>
        <w:rPr>
          <w:rStyle w:val="Heading3Char"/>
          <w:color w:val="49515C" w:themeColor="accent4" w:themeShade="80"/>
          <w:sz w:val="28"/>
        </w:rPr>
        <w:tab/>
      </w:r>
      <w:r w:rsidR="000272DA" w:rsidRPr="00806F8A">
        <w:rPr>
          <w:rFonts w:ascii="Calibri" w:eastAsia="Calibri" w:hAnsi="Calibri" w:cs="Times New Roman"/>
          <w:noProof/>
          <w:color w:val="49515C" w:themeColor="accent4" w:themeShade="80"/>
          <w:sz w:val="20"/>
        </w:rPr>
        <w:drawing>
          <wp:inline distT="0" distB="0" distL="0" distR="0" wp14:anchorId="5BFB578E" wp14:editId="545ABF6C">
            <wp:extent cx="288000" cy="288000"/>
            <wp:effectExtent l="0" t="0" r="0" b="0"/>
            <wp:docPr id="32" name="Graphic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arning.svg"/>
                    <pic:cNvPicPr/>
                  </pic:nvPicPr>
                  <pic:blipFill>
                    <a:blip r:embed="rId29" cstate="print">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288000" cy="288000"/>
                    </a:xfrm>
                    <a:prstGeom prst="rect">
                      <a:avLst/>
                    </a:prstGeom>
                  </pic:spPr>
                </pic:pic>
              </a:graphicData>
            </a:graphic>
          </wp:inline>
        </w:drawing>
      </w:r>
      <w:r w:rsidR="000272DA" w:rsidRPr="00806F8A">
        <w:rPr>
          <w:rStyle w:val="Heading3Char"/>
          <w:color w:val="49515C" w:themeColor="accent4" w:themeShade="80"/>
          <w:sz w:val="28"/>
        </w:rPr>
        <w:tab/>
        <w:t>Resilience</w:t>
      </w:r>
      <w:r>
        <w:rPr>
          <w:rStyle w:val="Heading3Char"/>
          <w:color w:val="49515C" w:themeColor="accent4" w:themeShade="80"/>
          <w:sz w:val="28"/>
        </w:rPr>
        <w:tab/>
      </w:r>
      <w:r>
        <w:rPr>
          <w:rStyle w:val="Heading3Char"/>
          <w:color w:val="49515C" w:themeColor="accent4" w:themeShade="80"/>
          <w:sz w:val="28"/>
        </w:rPr>
        <w:tab/>
      </w:r>
      <w:r w:rsidR="000272DA" w:rsidRPr="00806F8A">
        <w:rPr>
          <w:rFonts w:ascii="Calibri" w:eastAsia="Calibri" w:hAnsi="Calibri" w:cs="Times New Roman"/>
          <w:noProof/>
          <w:color w:val="49515C" w:themeColor="accent4" w:themeShade="80"/>
          <w:sz w:val="20"/>
        </w:rPr>
        <w:drawing>
          <wp:inline distT="0" distB="0" distL="0" distR="0" wp14:anchorId="386E6E19" wp14:editId="7F828314">
            <wp:extent cx="288000" cy="288000"/>
            <wp:effectExtent l="0" t="0" r="0" b="0"/>
            <wp:docPr id="33" name="Graphic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eaf.svg"/>
                    <pic:cNvPicPr/>
                  </pic:nvPicPr>
                  <pic:blipFill>
                    <a:blip r:embed="rId31" cstate="print">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288000" cy="288000"/>
                    </a:xfrm>
                    <a:prstGeom prst="rect">
                      <a:avLst/>
                    </a:prstGeom>
                  </pic:spPr>
                </pic:pic>
              </a:graphicData>
            </a:graphic>
          </wp:inline>
        </w:drawing>
      </w:r>
      <w:r w:rsidR="000272DA" w:rsidRPr="00806F8A">
        <w:rPr>
          <w:rStyle w:val="Heading3Char"/>
          <w:color w:val="49515C" w:themeColor="accent4" w:themeShade="80"/>
          <w:sz w:val="28"/>
        </w:rPr>
        <w:tab/>
        <w:t>Decarbonisation</w:t>
      </w:r>
      <w:r>
        <w:rPr>
          <w:rStyle w:val="Heading3Char"/>
          <w:color w:val="49515C" w:themeColor="accent4" w:themeShade="80"/>
          <w:sz w:val="28"/>
        </w:rPr>
        <w:tab/>
      </w:r>
      <w:r>
        <w:rPr>
          <w:rStyle w:val="Heading3Char"/>
          <w:color w:val="49515C" w:themeColor="accent4" w:themeShade="80"/>
          <w:sz w:val="28"/>
        </w:rPr>
        <w:tab/>
      </w:r>
      <w:r w:rsidR="000272DA" w:rsidRPr="00806F8A">
        <w:rPr>
          <w:rFonts w:ascii="Calibri" w:eastAsia="Calibri" w:hAnsi="Calibri" w:cs="Times New Roman"/>
          <w:noProof/>
          <w:color w:val="49515C" w:themeColor="accent4" w:themeShade="80"/>
          <w:sz w:val="20"/>
        </w:rPr>
        <w:drawing>
          <wp:inline distT="0" distB="0" distL="0" distR="0" wp14:anchorId="4CEB99D7" wp14:editId="0579A573">
            <wp:extent cx="288000" cy="288000"/>
            <wp:effectExtent l="0" t="0" r="0" b="0"/>
            <wp:docPr id="34" name="Graphic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tatistics_ltr.svg"/>
                    <pic:cNvPicPr/>
                  </pic:nvPicPr>
                  <pic:blipFill>
                    <a:blip r:embed="rId33" cstate="print">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a:xfrm>
                      <a:off x="0" y="0"/>
                      <a:ext cx="288000" cy="288000"/>
                    </a:xfrm>
                    <a:prstGeom prst="rect">
                      <a:avLst/>
                    </a:prstGeom>
                  </pic:spPr>
                </pic:pic>
              </a:graphicData>
            </a:graphic>
          </wp:inline>
        </w:drawing>
      </w:r>
      <w:r w:rsidR="000272DA" w:rsidRPr="00806F8A">
        <w:rPr>
          <w:rStyle w:val="Heading3Char"/>
          <w:color w:val="49515C" w:themeColor="accent4" w:themeShade="80"/>
          <w:sz w:val="28"/>
        </w:rPr>
        <w:tab/>
        <w:t>Data</w:t>
      </w:r>
    </w:p>
    <w:p w14:paraId="0097491B" w14:textId="77777777" w:rsidR="000272DA" w:rsidRDefault="000272DA" w:rsidP="00806F8A">
      <w:pPr>
        <w:rPr>
          <w:b/>
          <w:color w:val="081E3E" w:themeColor="text2"/>
          <w:sz w:val="44"/>
          <w:szCs w:val="26"/>
        </w:rPr>
        <w:sectPr w:rsidR="000272DA" w:rsidSect="001A40CB">
          <w:type w:val="continuous"/>
          <w:pgSz w:w="16838" w:h="11906" w:orient="landscape" w:code="9"/>
          <w:pgMar w:top="1021" w:right="1021" w:bottom="1021" w:left="1021" w:header="340" w:footer="397" w:gutter="0"/>
          <w:cols w:space="0"/>
          <w:docGrid w:linePitch="360"/>
        </w:sectPr>
      </w:pPr>
    </w:p>
    <w:tbl>
      <w:tblPr>
        <w:tblStyle w:val="DefaultTable1"/>
        <w:tblW w:w="15452" w:type="dxa"/>
        <w:tblInd w:w="-284" w:type="dxa"/>
        <w:tblCellMar>
          <w:left w:w="57" w:type="dxa"/>
          <w:right w:w="57" w:type="dxa"/>
        </w:tblCellMar>
        <w:tblLook w:val="04E0" w:firstRow="1" w:lastRow="1" w:firstColumn="1" w:lastColumn="0" w:noHBand="0" w:noVBand="1"/>
        <w:tblCaption w:val="Actions Mapping Table"/>
        <w:tblDescription w:val="This table displays the relationship between the new actions, National Priority Action Areas and goals of the Strategy."/>
      </w:tblPr>
      <w:tblGrid>
        <w:gridCol w:w="1560"/>
        <w:gridCol w:w="2835"/>
        <w:gridCol w:w="1842"/>
        <w:gridCol w:w="1843"/>
        <w:gridCol w:w="1843"/>
        <w:gridCol w:w="1843"/>
        <w:gridCol w:w="1843"/>
        <w:gridCol w:w="1843"/>
      </w:tblGrid>
      <w:tr w:rsidR="00997A1B" w:rsidRPr="002F4BC3" w14:paraId="2883D83F" w14:textId="77777777" w:rsidTr="000272DA">
        <w:trPr>
          <w:cnfStyle w:val="100000000000" w:firstRow="1" w:lastRow="0" w:firstColumn="0" w:lastColumn="0" w:oddVBand="0" w:evenVBand="0" w:oddHBand="0" w:evenHBand="0" w:firstRowFirstColumn="0" w:firstRowLastColumn="0" w:lastRowFirstColumn="0" w:lastRowLastColumn="0"/>
          <w:cantSplit/>
          <w:trHeight w:val="993"/>
        </w:trPr>
        <w:tc>
          <w:tcPr>
            <w:cnfStyle w:val="001000000000" w:firstRow="0" w:lastRow="0" w:firstColumn="1" w:lastColumn="0" w:oddVBand="0" w:evenVBand="0" w:oddHBand="0" w:evenHBand="0" w:firstRowFirstColumn="0" w:firstRowLastColumn="0" w:lastRowFirstColumn="0" w:lastRowLastColumn="0"/>
            <w:tcW w:w="1560" w:type="dxa"/>
            <w:tcBorders>
              <w:right w:val="single" w:sz="8" w:space="0" w:color="008089"/>
            </w:tcBorders>
            <w:shd w:val="clear" w:color="auto" w:fill="081E3E"/>
            <w:vAlign w:val="center"/>
          </w:tcPr>
          <w:p w14:paraId="53872AE1" w14:textId="08A4CCF9" w:rsidR="0073012B" w:rsidRPr="002F4BC3" w:rsidRDefault="0073012B" w:rsidP="00806F8A">
            <w:pPr>
              <w:spacing w:before="0"/>
              <w:jc w:val="center"/>
              <w:rPr>
                <w:rFonts w:ascii="Calibri" w:eastAsia="Calibri" w:hAnsi="Calibri" w:cs="Times New Roman"/>
                <w:color w:val="FFFFFF"/>
              </w:rPr>
            </w:pPr>
            <w:r w:rsidRPr="002F4BC3">
              <w:rPr>
                <w:rFonts w:ascii="Calibri" w:eastAsia="Calibri" w:hAnsi="Calibri" w:cs="Times New Roman"/>
                <w:color w:val="FFFFFF"/>
              </w:rPr>
              <w:t xml:space="preserve">Linked </w:t>
            </w:r>
            <w:r w:rsidR="00997A1B">
              <w:rPr>
                <w:rFonts w:ascii="Calibri" w:eastAsia="Calibri" w:hAnsi="Calibri" w:cs="Times New Roman"/>
                <w:color w:val="FFFFFF"/>
              </w:rPr>
              <w:t>National Priority Action Areas</w:t>
            </w:r>
          </w:p>
        </w:tc>
        <w:tc>
          <w:tcPr>
            <w:tcW w:w="2835" w:type="dxa"/>
            <w:tcBorders>
              <w:right w:val="single" w:sz="8" w:space="0" w:color="008089"/>
            </w:tcBorders>
            <w:shd w:val="clear" w:color="auto" w:fill="081E3E"/>
            <w:vAlign w:val="center"/>
          </w:tcPr>
          <w:p w14:paraId="0384E185" w14:textId="77777777" w:rsidR="0073012B" w:rsidRPr="002F4BC3" w:rsidRDefault="0073012B" w:rsidP="00806F8A">
            <w:pPr>
              <w:spacing w:before="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FFFFFF"/>
                <w:lang w:val="x-none"/>
              </w:rPr>
            </w:pPr>
            <w:r w:rsidRPr="002F4BC3">
              <w:rPr>
                <w:rFonts w:ascii="Calibri" w:eastAsia="Calibri" w:hAnsi="Calibri" w:cs="Times New Roman"/>
                <w:color w:val="FFFFFF"/>
              </w:rPr>
              <w:t>Actions</w:t>
            </w:r>
          </w:p>
        </w:tc>
        <w:tc>
          <w:tcPr>
            <w:tcW w:w="1842" w:type="dxa"/>
            <w:tcBorders>
              <w:left w:val="single" w:sz="8" w:space="0" w:color="008089"/>
              <w:right w:val="single" w:sz="8" w:space="0" w:color="008089"/>
            </w:tcBorders>
            <w:shd w:val="clear" w:color="auto" w:fill="081E3E"/>
            <w:vAlign w:val="center"/>
          </w:tcPr>
          <w:p w14:paraId="1BCC4E63" w14:textId="53D26558" w:rsidR="0073012B" w:rsidRPr="00997A1B" w:rsidRDefault="00997A1B" w:rsidP="00806F8A">
            <w:pPr>
              <w:spacing w:before="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color w:val="FFFFFF"/>
                <w:sz w:val="24"/>
                <w:szCs w:val="24"/>
              </w:rPr>
            </w:pPr>
            <w:r w:rsidRPr="00997A1B">
              <w:rPr>
                <w:rFonts w:ascii="Calibri" w:eastAsia="Calibri" w:hAnsi="Calibri" w:cs="Times New Roman"/>
                <w:color w:val="FFFFFF"/>
                <w:sz w:val="24"/>
                <w:szCs w:val="24"/>
                <w:u w:val="single"/>
              </w:rPr>
              <w:t xml:space="preserve">Strategy Goal </w:t>
            </w:r>
            <w:r w:rsidR="0073012B" w:rsidRPr="00997A1B">
              <w:rPr>
                <w:rFonts w:ascii="Calibri" w:eastAsia="Calibri" w:hAnsi="Calibri" w:cs="Times New Roman"/>
                <w:color w:val="FFFFFF"/>
                <w:sz w:val="24"/>
                <w:szCs w:val="24"/>
                <w:u w:val="single"/>
              </w:rPr>
              <w:t>1</w:t>
            </w:r>
            <w:r w:rsidR="0073012B" w:rsidRPr="002F4BC3">
              <w:rPr>
                <w:rFonts w:ascii="Calibri" w:eastAsia="Calibri" w:hAnsi="Calibri" w:cs="Calibri"/>
                <w:color w:val="FFFFFF"/>
                <w:sz w:val="24"/>
                <w:szCs w:val="24"/>
              </w:rPr>
              <w:t xml:space="preserve"> </w:t>
            </w:r>
            <w:r>
              <w:rPr>
                <w:rFonts w:ascii="Calibri" w:eastAsia="Calibri" w:hAnsi="Calibri" w:cs="Calibri"/>
                <w:color w:val="FFFFFF"/>
                <w:sz w:val="24"/>
                <w:szCs w:val="24"/>
              </w:rPr>
              <w:br/>
            </w:r>
            <w:r w:rsidR="0073012B" w:rsidRPr="00997A1B">
              <w:rPr>
                <w:rFonts w:ascii="Calibri" w:eastAsia="Calibri" w:hAnsi="Calibri" w:cs="Calibri"/>
                <w:b w:val="0"/>
                <w:color w:val="FFFFFF"/>
                <w:szCs w:val="24"/>
              </w:rPr>
              <w:t>Decarbonising the freight and supply chain sector</w:t>
            </w:r>
          </w:p>
        </w:tc>
        <w:tc>
          <w:tcPr>
            <w:tcW w:w="1843" w:type="dxa"/>
            <w:tcBorders>
              <w:left w:val="single" w:sz="8" w:space="0" w:color="008089"/>
              <w:right w:val="single" w:sz="8" w:space="0" w:color="008089"/>
            </w:tcBorders>
            <w:shd w:val="clear" w:color="auto" w:fill="081E3E"/>
            <w:vAlign w:val="center"/>
          </w:tcPr>
          <w:p w14:paraId="07E7DFBE" w14:textId="37A5BE2A" w:rsidR="0073012B" w:rsidRPr="002F4BC3" w:rsidRDefault="00997A1B" w:rsidP="00806F8A">
            <w:pPr>
              <w:spacing w:before="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FFFFFF"/>
                <w:szCs w:val="24"/>
              </w:rPr>
            </w:pPr>
            <w:r w:rsidRPr="00997A1B">
              <w:rPr>
                <w:rFonts w:ascii="Calibri" w:eastAsia="Calibri" w:hAnsi="Calibri" w:cs="Times New Roman"/>
                <w:color w:val="FFFFFF"/>
                <w:sz w:val="24"/>
                <w:szCs w:val="24"/>
                <w:u w:val="single"/>
              </w:rPr>
              <w:t xml:space="preserve">Strategy Goal </w:t>
            </w:r>
            <w:r w:rsidR="0073012B" w:rsidRPr="00997A1B">
              <w:rPr>
                <w:rFonts w:ascii="Calibri" w:eastAsia="Calibri" w:hAnsi="Calibri" w:cs="Times New Roman"/>
                <w:color w:val="FFFFFF"/>
                <w:sz w:val="24"/>
                <w:szCs w:val="24"/>
                <w:u w:val="single"/>
              </w:rPr>
              <w:t>2</w:t>
            </w:r>
            <w:r w:rsidR="0073012B" w:rsidRPr="002F4BC3">
              <w:rPr>
                <w:rFonts w:ascii="Calibri" w:eastAsia="Calibri" w:hAnsi="Calibri" w:cs="Times New Roman"/>
                <w:color w:val="FFFFFF"/>
                <w:sz w:val="24"/>
                <w:szCs w:val="24"/>
              </w:rPr>
              <w:t xml:space="preserve"> </w:t>
            </w:r>
            <w:r>
              <w:rPr>
                <w:rFonts w:ascii="Calibri" w:eastAsia="Calibri" w:hAnsi="Calibri" w:cs="Times New Roman"/>
                <w:color w:val="FFFFFF"/>
                <w:sz w:val="24"/>
                <w:szCs w:val="24"/>
              </w:rPr>
              <w:br/>
            </w:r>
            <w:r w:rsidR="0073012B" w:rsidRPr="00997A1B">
              <w:rPr>
                <w:rFonts w:ascii="Calibri" w:eastAsia="Calibri" w:hAnsi="Calibri" w:cs="Times New Roman"/>
                <w:b w:val="0"/>
                <w:color w:val="FFFFFF"/>
                <w:szCs w:val="24"/>
              </w:rPr>
              <w:t>Improved efficiency, productivity and international competitiveness</w:t>
            </w:r>
          </w:p>
        </w:tc>
        <w:tc>
          <w:tcPr>
            <w:tcW w:w="1843" w:type="dxa"/>
            <w:tcBorders>
              <w:left w:val="single" w:sz="8" w:space="0" w:color="008089"/>
              <w:right w:val="single" w:sz="8" w:space="0" w:color="008089"/>
            </w:tcBorders>
            <w:shd w:val="clear" w:color="auto" w:fill="081E3E"/>
            <w:vAlign w:val="center"/>
          </w:tcPr>
          <w:p w14:paraId="657F4334" w14:textId="5169DA88" w:rsidR="0073012B" w:rsidRPr="002F4BC3" w:rsidRDefault="00997A1B" w:rsidP="00806F8A">
            <w:pPr>
              <w:spacing w:before="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FFFFFF"/>
                <w:szCs w:val="24"/>
              </w:rPr>
            </w:pPr>
            <w:r w:rsidRPr="00997A1B">
              <w:rPr>
                <w:rFonts w:ascii="Calibri" w:eastAsia="Calibri" w:hAnsi="Calibri" w:cs="Times New Roman"/>
                <w:color w:val="FFFFFF"/>
                <w:sz w:val="24"/>
                <w:szCs w:val="24"/>
                <w:u w:val="single"/>
              </w:rPr>
              <w:t xml:space="preserve">Strategy Goal </w:t>
            </w:r>
            <w:r w:rsidR="0073012B" w:rsidRPr="00997A1B">
              <w:rPr>
                <w:rFonts w:ascii="Calibri" w:eastAsia="Calibri" w:hAnsi="Calibri" w:cs="Calibri"/>
                <w:color w:val="FFFFFF"/>
                <w:sz w:val="24"/>
                <w:szCs w:val="24"/>
                <w:u w:val="single"/>
              </w:rPr>
              <w:t>3</w:t>
            </w:r>
            <w:r w:rsidR="0073012B" w:rsidRPr="002F4BC3">
              <w:rPr>
                <w:rFonts w:ascii="Calibri" w:eastAsia="Calibri" w:hAnsi="Calibri" w:cs="Calibri"/>
                <w:color w:val="FFFFFF"/>
                <w:sz w:val="24"/>
                <w:szCs w:val="24"/>
              </w:rPr>
              <w:t xml:space="preserve"> </w:t>
            </w:r>
            <w:r>
              <w:rPr>
                <w:rFonts w:ascii="Calibri" w:eastAsia="Calibri" w:hAnsi="Calibri" w:cs="Calibri"/>
                <w:color w:val="FFFFFF"/>
                <w:sz w:val="24"/>
                <w:szCs w:val="24"/>
              </w:rPr>
              <w:br/>
            </w:r>
            <w:r w:rsidR="0073012B" w:rsidRPr="00997A1B">
              <w:rPr>
                <w:rFonts w:ascii="Calibri" w:eastAsia="Calibri" w:hAnsi="Calibri" w:cs="Calibri"/>
                <w:b w:val="0"/>
                <w:color w:val="FFFFFF"/>
                <w:szCs w:val="24"/>
              </w:rPr>
              <w:t>Safe, secure and resilient supply chains</w:t>
            </w:r>
          </w:p>
        </w:tc>
        <w:tc>
          <w:tcPr>
            <w:tcW w:w="1843" w:type="dxa"/>
            <w:tcBorders>
              <w:left w:val="single" w:sz="8" w:space="0" w:color="008089"/>
              <w:right w:val="single" w:sz="8" w:space="0" w:color="008089"/>
            </w:tcBorders>
            <w:shd w:val="clear" w:color="auto" w:fill="081E3E"/>
            <w:vAlign w:val="center"/>
          </w:tcPr>
          <w:p w14:paraId="5E421128" w14:textId="15B864F1" w:rsidR="0073012B" w:rsidRPr="002F4BC3" w:rsidRDefault="00997A1B" w:rsidP="00806F8A">
            <w:pPr>
              <w:spacing w:before="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FFFFFF"/>
              </w:rPr>
            </w:pPr>
            <w:r w:rsidRPr="00997A1B">
              <w:rPr>
                <w:rFonts w:ascii="Calibri" w:eastAsia="Calibri" w:hAnsi="Calibri" w:cs="Times New Roman"/>
                <w:color w:val="FFFFFF"/>
                <w:sz w:val="24"/>
                <w:szCs w:val="24"/>
                <w:u w:val="single"/>
              </w:rPr>
              <w:t xml:space="preserve">Strategy Goal </w:t>
            </w:r>
            <w:r w:rsidR="0073012B" w:rsidRPr="00997A1B">
              <w:rPr>
                <w:rFonts w:ascii="Calibri" w:eastAsia="Calibri" w:hAnsi="Calibri" w:cs="Times New Roman"/>
                <w:color w:val="FFFFFF"/>
                <w:sz w:val="24"/>
                <w:szCs w:val="24"/>
                <w:u w:val="single"/>
              </w:rPr>
              <w:t>4</w:t>
            </w:r>
            <w:r w:rsidR="0073012B" w:rsidRPr="002F4BC3">
              <w:rPr>
                <w:rFonts w:ascii="Calibri" w:eastAsia="Calibri" w:hAnsi="Calibri" w:cs="Times New Roman"/>
                <w:color w:val="FFFFFF"/>
              </w:rPr>
              <w:t xml:space="preserve"> </w:t>
            </w:r>
            <w:r>
              <w:rPr>
                <w:rFonts w:ascii="Calibri" w:eastAsia="Calibri" w:hAnsi="Calibri" w:cs="Times New Roman"/>
                <w:color w:val="FFFFFF"/>
              </w:rPr>
              <w:br/>
            </w:r>
            <w:r w:rsidR="0073012B" w:rsidRPr="00997A1B">
              <w:rPr>
                <w:rFonts w:ascii="Calibri" w:eastAsia="Calibri" w:hAnsi="Calibri" w:cs="Times New Roman"/>
                <w:b w:val="0"/>
                <w:color w:val="FFFFFF"/>
              </w:rPr>
              <w:t>A fit for purpose regulatory environment</w:t>
            </w:r>
          </w:p>
        </w:tc>
        <w:tc>
          <w:tcPr>
            <w:tcW w:w="1843" w:type="dxa"/>
            <w:tcBorders>
              <w:left w:val="single" w:sz="8" w:space="0" w:color="008089"/>
              <w:right w:val="single" w:sz="8" w:space="0" w:color="008089"/>
            </w:tcBorders>
            <w:shd w:val="clear" w:color="auto" w:fill="081E3E"/>
            <w:vAlign w:val="center"/>
          </w:tcPr>
          <w:p w14:paraId="2799219F" w14:textId="1C59EBEE" w:rsidR="0073012B" w:rsidRPr="002F4BC3" w:rsidRDefault="00997A1B" w:rsidP="00806F8A">
            <w:pPr>
              <w:spacing w:before="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FFFFFF"/>
              </w:rPr>
            </w:pPr>
            <w:r w:rsidRPr="00997A1B">
              <w:rPr>
                <w:rFonts w:ascii="Calibri" w:eastAsia="Calibri" w:hAnsi="Calibri" w:cs="Times New Roman"/>
                <w:color w:val="FFFFFF"/>
                <w:sz w:val="24"/>
                <w:szCs w:val="24"/>
                <w:u w:val="single"/>
              </w:rPr>
              <w:t xml:space="preserve">Strategy Goal </w:t>
            </w:r>
            <w:r w:rsidR="0073012B" w:rsidRPr="00997A1B">
              <w:rPr>
                <w:rFonts w:ascii="Calibri" w:eastAsia="Calibri" w:hAnsi="Calibri" w:cs="Times New Roman"/>
                <w:color w:val="FFFFFF"/>
                <w:sz w:val="24"/>
                <w:u w:val="single"/>
              </w:rPr>
              <w:t>5</w:t>
            </w:r>
            <w:r w:rsidR="0073012B" w:rsidRPr="002F4BC3">
              <w:rPr>
                <w:rFonts w:ascii="Calibri" w:eastAsia="Calibri" w:hAnsi="Calibri" w:cs="Times New Roman"/>
                <w:color w:val="FFFFFF"/>
                <w:sz w:val="20"/>
              </w:rPr>
              <w:t xml:space="preserve"> </w:t>
            </w:r>
            <w:r>
              <w:rPr>
                <w:rFonts w:ascii="Calibri" w:eastAsia="Calibri" w:hAnsi="Calibri" w:cs="Times New Roman"/>
                <w:color w:val="FFFFFF"/>
                <w:sz w:val="20"/>
              </w:rPr>
              <w:br/>
            </w:r>
            <w:r w:rsidR="0073012B" w:rsidRPr="00997A1B">
              <w:rPr>
                <w:rFonts w:ascii="Calibri" w:eastAsia="Calibri" w:hAnsi="Calibri" w:cs="Times New Roman"/>
                <w:b w:val="0"/>
                <w:color w:val="FFFFFF"/>
              </w:rPr>
              <w:t>A skilled, portable and adaptable workforce</w:t>
            </w:r>
          </w:p>
        </w:tc>
        <w:tc>
          <w:tcPr>
            <w:tcW w:w="1843" w:type="dxa"/>
            <w:tcBorders>
              <w:left w:val="single" w:sz="8" w:space="0" w:color="008089"/>
            </w:tcBorders>
            <w:shd w:val="clear" w:color="auto" w:fill="081E3E"/>
            <w:vAlign w:val="center"/>
          </w:tcPr>
          <w:p w14:paraId="38AB8E6E" w14:textId="00154A73" w:rsidR="0073012B" w:rsidRPr="002F4BC3" w:rsidRDefault="00997A1B" w:rsidP="00806F8A">
            <w:pPr>
              <w:spacing w:before="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FFFFFF"/>
              </w:rPr>
            </w:pPr>
            <w:r w:rsidRPr="00997A1B">
              <w:rPr>
                <w:rFonts w:ascii="Calibri" w:eastAsia="Calibri" w:hAnsi="Calibri" w:cs="Times New Roman"/>
                <w:color w:val="FFFFFF"/>
                <w:sz w:val="24"/>
                <w:szCs w:val="24"/>
                <w:u w:val="single"/>
              </w:rPr>
              <w:t xml:space="preserve">Strategy Goal </w:t>
            </w:r>
            <w:r w:rsidR="0073012B" w:rsidRPr="00997A1B">
              <w:rPr>
                <w:rFonts w:ascii="Calibri" w:eastAsia="Calibri" w:hAnsi="Calibri" w:cs="Times New Roman"/>
                <w:color w:val="FFFFFF"/>
                <w:sz w:val="24"/>
                <w:u w:val="single"/>
              </w:rPr>
              <w:t>6</w:t>
            </w:r>
            <w:r w:rsidR="0073012B" w:rsidRPr="002F4BC3">
              <w:rPr>
                <w:rFonts w:ascii="Calibri" w:eastAsia="Calibri" w:hAnsi="Calibri" w:cs="Times New Roman"/>
                <w:color w:val="FFFFFF"/>
              </w:rPr>
              <w:t xml:space="preserve"> </w:t>
            </w:r>
            <w:r>
              <w:rPr>
                <w:rFonts w:ascii="Calibri" w:eastAsia="Calibri" w:hAnsi="Calibri" w:cs="Times New Roman"/>
                <w:color w:val="FFFFFF"/>
              </w:rPr>
              <w:br/>
            </w:r>
            <w:r w:rsidR="0073012B" w:rsidRPr="00997A1B">
              <w:rPr>
                <w:rFonts w:ascii="Calibri" w:eastAsia="Calibri" w:hAnsi="Calibri" w:cs="Times New Roman"/>
                <w:b w:val="0"/>
                <w:color w:val="FFFFFF"/>
              </w:rPr>
              <w:t>An informed understanding and acceptance of freight operations</w:t>
            </w:r>
          </w:p>
        </w:tc>
      </w:tr>
      <w:tr w:rsidR="0073012B" w:rsidRPr="002F4BC3" w14:paraId="5C01B7B1" w14:textId="77777777" w:rsidTr="000272DA">
        <w:trPr>
          <w:cantSplit/>
        </w:trPr>
        <w:tc>
          <w:tcPr>
            <w:cnfStyle w:val="001000000000" w:firstRow="0" w:lastRow="0" w:firstColumn="1" w:lastColumn="0" w:oddVBand="0" w:evenVBand="0" w:oddHBand="0" w:evenHBand="0" w:firstRowFirstColumn="0" w:firstRowLastColumn="0" w:lastRowFirstColumn="0" w:lastRowLastColumn="0"/>
            <w:tcW w:w="1560" w:type="dxa"/>
            <w:vAlign w:val="center"/>
          </w:tcPr>
          <w:p w14:paraId="650BAAE6" w14:textId="77777777" w:rsidR="0073012B" w:rsidRPr="002F4BC3" w:rsidRDefault="0073012B" w:rsidP="00806F8A">
            <w:pPr>
              <w:spacing w:before="0"/>
              <w:jc w:val="center"/>
              <w:rPr>
                <w:rFonts w:ascii="Calibri" w:eastAsia="Calibri" w:hAnsi="Calibri" w:cs="Times New Roman"/>
                <w:color w:val="000000"/>
              </w:rPr>
            </w:pPr>
            <w:r w:rsidRPr="002F4BC3">
              <w:rPr>
                <w:rFonts w:ascii="Calibri" w:eastAsia="Calibri" w:hAnsi="Calibri" w:cs="Times New Roman"/>
                <w:noProof/>
                <w:color w:val="000000"/>
              </w:rPr>
              <w:drawing>
                <wp:inline distT="0" distB="0" distL="0" distR="0" wp14:anchorId="262BCDC2" wp14:editId="798149E3">
                  <wp:extent cx="228600" cy="228600"/>
                  <wp:effectExtent l="0" t="0" r="0" b="0"/>
                  <wp:docPr id="73" name="Graphic 73" descr="Produ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inglegear.svg"/>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228600" cy="228600"/>
                          </a:xfrm>
                          <a:prstGeom prst="rect">
                            <a:avLst/>
                          </a:prstGeom>
                        </pic:spPr>
                      </pic:pic>
                    </a:graphicData>
                  </a:graphic>
                </wp:inline>
              </w:drawing>
            </w:r>
            <w:r w:rsidRPr="002F4BC3">
              <w:rPr>
                <w:rFonts w:ascii="Calibri" w:eastAsia="Calibri" w:hAnsi="Calibri" w:cs="Times New Roman"/>
                <w:noProof/>
                <w:color w:val="000000"/>
              </w:rPr>
              <w:drawing>
                <wp:inline distT="0" distB="0" distL="0" distR="0" wp14:anchorId="6FFC956E" wp14:editId="47FD827D">
                  <wp:extent cx="213360" cy="213360"/>
                  <wp:effectExtent l="0" t="0" r="0" b="0"/>
                  <wp:docPr id="74" name="Graphic 74" descr="Resil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arning.svg"/>
                          <pic:cNvPicPr/>
                        </pic:nvPicPr>
                        <pic:blipFill>
                          <a:blip r:embed="rId29" cstate="print">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213360" cy="213360"/>
                          </a:xfrm>
                          <a:prstGeom prst="rect">
                            <a:avLst/>
                          </a:prstGeom>
                        </pic:spPr>
                      </pic:pic>
                    </a:graphicData>
                  </a:graphic>
                </wp:inline>
              </w:drawing>
            </w:r>
            <w:r w:rsidRPr="002F4BC3">
              <w:rPr>
                <w:rFonts w:ascii="Calibri" w:eastAsia="Calibri" w:hAnsi="Calibri" w:cs="Times New Roman"/>
                <w:noProof/>
                <w:color w:val="000000"/>
              </w:rPr>
              <w:drawing>
                <wp:inline distT="0" distB="0" distL="0" distR="0" wp14:anchorId="6383D40B" wp14:editId="536A93A5">
                  <wp:extent cx="222885" cy="222885"/>
                  <wp:effectExtent l="0" t="0" r="5715" b="5715"/>
                  <wp:docPr id="52" name="Graphic 52" descr="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tatistics_ltr.svg"/>
                          <pic:cNvPicPr/>
                        </pic:nvPicPr>
                        <pic:blipFill>
                          <a:blip r:embed="rId33" cstate="print">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a:xfrm>
                            <a:off x="0" y="0"/>
                            <a:ext cx="222885" cy="222885"/>
                          </a:xfrm>
                          <a:prstGeom prst="rect">
                            <a:avLst/>
                          </a:prstGeom>
                        </pic:spPr>
                      </pic:pic>
                    </a:graphicData>
                  </a:graphic>
                </wp:inline>
              </w:drawing>
            </w:r>
          </w:p>
        </w:tc>
        <w:tc>
          <w:tcPr>
            <w:tcW w:w="2835" w:type="dxa"/>
            <w:vAlign w:val="center"/>
          </w:tcPr>
          <w:p w14:paraId="0BA8145F" w14:textId="77777777" w:rsidR="0073012B" w:rsidRPr="002F4BC3" w:rsidRDefault="0073012B" w:rsidP="00806F8A">
            <w:pPr>
              <w:spacing w:before="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rPr>
            </w:pPr>
            <w:r w:rsidRPr="002F4BC3">
              <w:rPr>
                <w:rFonts w:ascii="Calibri" w:eastAsia="Calibri" w:hAnsi="Calibri" w:cs="Times New Roman"/>
                <w:color w:val="000000"/>
              </w:rPr>
              <w:t>Define and model the current freight and supply chain network</w:t>
            </w:r>
          </w:p>
        </w:tc>
        <w:tc>
          <w:tcPr>
            <w:tcW w:w="1842" w:type="dxa"/>
            <w:tcBorders>
              <w:top w:val="single" w:sz="8" w:space="0" w:color="008089"/>
            </w:tcBorders>
            <w:vAlign w:val="center"/>
          </w:tcPr>
          <w:p w14:paraId="4A2239AF" w14:textId="77777777" w:rsidR="0073012B" w:rsidRPr="002F4BC3" w:rsidRDefault="0073012B" w:rsidP="00806F8A">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rPr>
            </w:pPr>
            <w:r w:rsidRPr="002F4BC3">
              <w:rPr>
                <w:rFonts w:ascii="Calibri" w:eastAsia="Calibri" w:hAnsi="Calibri" w:cs="Times New Roman"/>
                <w:noProof/>
                <w:color w:val="000000"/>
              </w:rPr>
              <w:drawing>
                <wp:inline distT="0" distB="0" distL="0" distR="0" wp14:anchorId="3AAEFF20" wp14:editId="667E54D3">
                  <wp:extent cx="238125" cy="238125"/>
                  <wp:effectExtent l="0" t="0" r="9525" b="9525"/>
                  <wp:docPr id="2" name="Graphic 2" descr="Decarbonising the freight and supply chain s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35" cstate="print">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238125" cy="238125"/>
                          </a:xfrm>
                          <a:prstGeom prst="rect">
                            <a:avLst/>
                          </a:prstGeom>
                        </pic:spPr>
                      </pic:pic>
                    </a:graphicData>
                  </a:graphic>
                </wp:inline>
              </w:drawing>
            </w:r>
          </w:p>
        </w:tc>
        <w:tc>
          <w:tcPr>
            <w:tcW w:w="1843" w:type="dxa"/>
            <w:tcBorders>
              <w:top w:val="single" w:sz="8" w:space="0" w:color="008089"/>
            </w:tcBorders>
            <w:vAlign w:val="center"/>
          </w:tcPr>
          <w:p w14:paraId="1E0BB8C1" w14:textId="77777777" w:rsidR="0073012B" w:rsidRPr="002F4BC3" w:rsidRDefault="0073012B" w:rsidP="00806F8A">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rPr>
            </w:pPr>
            <w:r w:rsidRPr="002F4BC3">
              <w:rPr>
                <w:rFonts w:ascii="Calibri" w:eastAsia="Calibri" w:hAnsi="Calibri" w:cs="Times New Roman"/>
                <w:noProof/>
                <w:color w:val="000000"/>
              </w:rPr>
              <w:drawing>
                <wp:inline distT="0" distB="0" distL="0" distR="0" wp14:anchorId="17891991" wp14:editId="01A68D45">
                  <wp:extent cx="238125" cy="238125"/>
                  <wp:effectExtent l="0" t="0" r="9525" b="9525"/>
                  <wp:docPr id="3" name="Graphic 3" descr="Improved efficiency, productivity and international competitive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35" cstate="print">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238125" cy="238125"/>
                          </a:xfrm>
                          <a:prstGeom prst="rect">
                            <a:avLst/>
                          </a:prstGeom>
                        </pic:spPr>
                      </pic:pic>
                    </a:graphicData>
                  </a:graphic>
                </wp:inline>
              </w:drawing>
            </w:r>
          </w:p>
        </w:tc>
        <w:tc>
          <w:tcPr>
            <w:tcW w:w="1843" w:type="dxa"/>
            <w:tcBorders>
              <w:top w:val="single" w:sz="8" w:space="0" w:color="008089"/>
            </w:tcBorders>
            <w:vAlign w:val="center"/>
          </w:tcPr>
          <w:p w14:paraId="42BB9735" w14:textId="77777777" w:rsidR="0073012B" w:rsidRPr="002F4BC3" w:rsidRDefault="0073012B" w:rsidP="00806F8A">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rPr>
            </w:pPr>
            <w:r w:rsidRPr="002F4BC3">
              <w:rPr>
                <w:rFonts w:ascii="Calibri" w:eastAsia="Calibri" w:hAnsi="Calibri" w:cs="Times New Roman"/>
                <w:noProof/>
                <w:color w:val="000000"/>
              </w:rPr>
              <w:drawing>
                <wp:inline distT="0" distB="0" distL="0" distR="0" wp14:anchorId="6D864F61" wp14:editId="54A028BC">
                  <wp:extent cx="238125" cy="238125"/>
                  <wp:effectExtent l="0" t="0" r="9525" b="9525"/>
                  <wp:docPr id="72" name="Graphic 72" descr="Safe, secure and resilient supply cha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35" cstate="print">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238125" cy="238125"/>
                          </a:xfrm>
                          <a:prstGeom prst="rect">
                            <a:avLst/>
                          </a:prstGeom>
                        </pic:spPr>
                      </pic:pic>
                    </a:graphicData>
                  </a:graphic>
                </wp:inline>
              </w:drawing>
            </w:r>
          </w:p>
        </w:tc>
        <w:tc>
          <w:tcPr>
            <w:tcW w:w="1843" w:type="dxa"/>
            <w:tcBorders>
              <w:top w:val="single" w:sz="8" w:space="0" w:color="008089"/>
            </w:tcBorders>
            <w:vAlign w:val="center"/>
          </w:tcPr>
          <w:p w14:paraId="31A4B6F4" w14:textId="77777777" w:rsidR="0073012B" w:rsidRPr="002F4BC3" w:rsidRDefault="0073012B" w:rsidP="00806F8A">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rPr>
            </w:pPr>
          </w:p>
        </w:tc>
        <w:tc>
          <w:tcPr>
            <w:tcW w:w="1843" w:type="dxa"/>
            <w:tcBorders>
              <w:top w:val="single" w:sz="8" w:space="0" w:color="008089"/>
            </w:tcBorders>
            <w:vAlign w:val="center"/>
          </w:tcPr>
          <w:p w14:paraId="170B7B4C" w14:textId="77777777" w:rsidR="0073012B" w:rsidRPr="002F4BC3" w:rsidRDefault="0073012B" w:rsidP="00806F8A">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rPr>
            </w:pPr>
          </w:p>
        </w:tc>
        <w:tc>
          <w:tcPr>
            <w:tcW w:w="1843" w:type="dxa"/>
            <w:tcBorders>
              <w:top w:val="single" w:sz="8" w:space="0" w:color="008089"/>
            </w:tcBorders>
            <w:vAlign w:val="center"/>
          </w:tcPr>
          <w:p w14:paraId="2E85BF1E" w14:textId="77777777" w:rsidR="0073012B" w:rsidRPr="002F4BC3" w:rsidRDefault="0073012B" w:rsidP="00806F8A">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rPr>
            </w:pPr>
            <w:r w:rsidRPr="002F4BC3">
              <w:rPr>
                <w:rFonts w:ascii="Calibri" w:eastAsia="Calibri" w:hAnsi="Calibri" w:cs="Times New Roman"/>
                <w:noProof/>
                <w:color w:val="000000"/>
              </w:rPr>
              <w:drawing>
                <wp:inline distT="0" distB="0" distL="0" distR="0" wp14:anchorId="1F479A47" wp14:editId="18F65170">
                  <wp:extent cx="238125" cy="238125"/>
                  <wp:effectExtent l="0" t="0" r="9525" b="9525"/>
                  <wp:docPr id="7" name="Graphic 7" descr="An informed understanding and acceptance of freight ope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35" cstate="print">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238125" cy="238125"/>
                          </a:xfrm>
                          <a:prstGeom prst="rect">
                            <a:avLst/>
                          </a:prstGeom>
                        </pic:spPr>
                      </pic:pic>
                    </a:graphicData>
                  </a:graphic>
                </wp:inline>
              </w:drawing>
            </w:r>
          </w:p>
        </w:tc>
      </w:tr>
      <w:tr w:rsidR="0073012B" w:rsidRPr="002F4BC3" w14:paraId="05F1164B" w14:textId="77777777" w:rsidTr="000272D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60" w:type="dxa"/>
            <w:vAlign w:val="center"/>
          </w:tcPr>
          <w:p w14:paraId="48F0DA51" w14:textId="77777777" w:rsidR="0073012B" w:rsidRPr="002F4BC3" w:rsidRDefault="0073012B" w:rsidP="00806F8A">
            <w:pPr>
              <w:spacing w:before="0"/>
              <w:jc w:val="center"/>
              <w:rPr>
                <w:rFonts w:ascii="Calibri" w:eastAsia="Calibri" w:hAnsi="Calibri" w:cs="Times New Roman"/>
                <w:color w:val="000000"/>
              </w:rPr>
            </w:pPr>
            <w:r w:rsidRPr="002F4BC3">
              <w:rPr>
                <w:rFonts w:ascii="Calibri" w:eastAsia="Calibri" w:hAnsi="Calibri" w:cs="Times New Roman"/>
                <w:noProof/>
                <w:color w:val="000000"/>
              </w:rPr>
              <w:drawing>
                <wp:inline distT="0" distB="0" distL="0" distR="0" wp14:anchorId="3C9EFFA4" wp14:editId="3AC21B22">
                  <wp:extent cx="228600" cy="228600"/>
                  <wp:effectExtent l="0" t="0" r="0" b="0"/>
                  <wp:docPr id="57" name="Graphic 57" descr="Produ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inglegear.svg"/>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228600" cy="228600"/>
                          </a:xfrm>
                          <a:prstGeom prst="rect">
                            <a:avLst/>
                          </a:prstGeom>
                        </pic:spPr>
                      </pic:pic>
                    </a:graphicData>
                  </a:graphic>
                </wp:inline>
              </w:drawing>
            </w:r>
            <w:r w:rsidRPr="002F4BC3">
              <w:rPr>
                <w:rFonts w:ascii="Calibri" w:eastAsia="Calibri" w:hAnsi="Calibri" w:cs="Times New Roman"/>
                <w:noProof/>
                <w:color w:val="000000"/>
              </w:rPr>
              <w:drawing>
                <wp:inline distT="0" distB="0" distL="0" distR="0" wp14:anchorId="4397B80D" wp14:editId="2E7C9640">
                  <wp:extent cx="213360" cy="213360"/>
                  <wp:effectExtent l="0" t="0" r="0" b="0"/>
                  <wp:docPr id="58" name="Graphic 58" descr="Resil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arning.svg"/>
                          <pic:cNvPicPr/>
                        </pic:nvPicPr>
                        <pic:blipFill>
                          <a:blip r:embed="rId29" cstate="print">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213360" cy="213360"/>
                          </a:xfrm>
                          <a:prstGeom prst="rect">
                            <a:avLst/>
                          </a:prstGeom>
                        </pic:spPr>
                      </pic:pic>
                    </a:graphicData>
                  </a:graphic>
                </wp:inline>
              </w:drawing>
            </w:r>
            <w:r w:rsidRPr="002F4BC3">
              <w:rPr>
                <w:rFonts w:ascii="Calibri" w:eastAsia="Calibri" w:hAnsi="Calibri" w:cs="Times New Roman"/>
                <w:noProof/>
                <w:color w:val="000000"/>
              </w:rPr>
              <w:drawing>
                <wp:inline distT="0" distB="0" distL="0" distR="0" wp14:anchorId="7C9CF2AF" wp14:editId="2C1710D2">
                  <wp:extent cx="215900" cy="215900"/>
                  <wp:effectExtent l="0" t="0" r="0" b="0"/>
                  <wp:docPr id="60" name="Graphic 60" descr="Decarboni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eaf.svg"/>
                          <pic:cNvPicPr/>
                        </pic:nvPicPr>
                        <pic:blipFill>
                          <a:blip r:embed="rId31" cstate="print">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215900" cy="215900"/>
                          </a:xfrm>
                          <a:prstGeom prst="rect">
                            <a:avLst/>
                          </a:prstGeom>
                        </pic:spPr>
                      </pic:pic>
                    </a:graphicData>
                  </a:graphic>
                </wp:inline>
              </w:drawing>
            </w:r>
            <w:r w:rsidRPr="002F4BC3">
              <w:rPr>
                <w:rFonts w:ascii="Calibri" w:eastAsia="Calibri" w:hAnsi="Calibri" w:cs="Times New Roman"/>
                <w:noProof/>
                <w:color w:val="000000"/>
              </w:rPr>
              <w:drawing>
                <wp:inline distT="0" distB="0" distL="0" distR="0" wp14:anchorId="0BED1BD6" wp14:editId="2251A887">
                  <wp:extent cx="222885" cy="222885"/>
                  <wp:effectExtent l="0" t="0" r="5715" b="5715"/>
                  <wp:docPr id="61" name="Graphic 61" descr="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tatistics_ltr.svg"/>
                          <pic:cNvPicPr/>
                        </pic:nvPicPr>
                        <pic:blipFill>
                          <a:blip r:embed="rId33" cstate="print">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a:xfrm>
                            <a:off x="0" y="0"/>
                            <a:ext cx="222885" cy="222885"/>
                          </a:xfrm>
                          <a:prstGeom prst="rect">
                            <a:avLst/>
                          </a:prstGeom>
                        </pic:spPr>
                      </pic:pic>
                    </a:graphicData>
                  </a:graphic>
                </wp:inline>
              </w:drawing>
            </w:r>
          </w:p>
        </w:tc>
        <w:tc>
          <w:tcPr>
            <w:tcW w:w="2835" w:type="dxa"/>
            <w:vAlign w:val="center"/>
          </w:tcPr>
          <w:p w14:paraId="5AF4272C" w14:textId="77777777" w:rsidR="0073012B" w:rsidRPr="002F4BC3" w:rsidRDefault="0073012B" w:rsidP="00806F8A">
            <w:pPr>
              <w:spacing w:before="0"/>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color w:val="000000"/>
              </w:rPr>
            </w:pPr>
            <w:r w:rsidRPr="002F4BC3">
              <w:rPr>
                <w:rFonts w:ascii="Calibri" w:eastAsia="Calibri" w:hAnsi="Calibri" w:cs="Times New Roman"/>
                <w:color w:val="000000"/>
              </w:rPr>
              <w:t>Model the ideal future freight network in 2040</w:t>
            </w:r>
          </w:p>
        </w:tc>
        <w:tc>
          <w:tcPr>
            <w:tcW w:w="1842" w:type="dxa"/>
            <w:vAlign w:val="center"/>
          </w:tcPr>
          <w:p w14:paraId="638FA357" w14:textId="77777777" w:rsidR="0073012B" w:rsidRPr="002F4BC3" w:rsidRDefault="0073012B" w:rsidP="00806F8A">
            <w:pPr>
              <w:spacing w:before="0"/>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color w:val="000000"/>
              </w:rPr>
            </w:pPr>
            <w:r w:rsidRPr="002F4BC3">
              <w:rPr>
                <w:rFonts w:ascii="Calibri" w:eastAsia="Calibri" w:hAnsi="Calibri" w:cs="Times New Roman"/>
                <w:noProof/>
                <w:color w:val="000000"/>
              </w:rPr>
              <w:drawing>
                <wp:inline distT="0" distB="0" distL="0" distR="0" wp14:anchorId="31BAF6F8" wp14:editId="6CA15D36">
                  <wp:extent cx="238125" cy="238125"/>
                  <wp:effectExtent l="0" t="0" r="9525" b="9525"/>
                  <wp:docPr id="8" name="Graphic 8" descr="Decarbonising the freight and supply chain s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35" cstate="print">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238125" cy="238125"/>
                          </a:xfrm>
                          <a:prstGeom prst="rect">
                            <a:avLst/>
                          </a:prstGeom>
                        </pic:spPr>
                      </pic:pic>
                    </a:graphicData>
                  </a:graphic>
                </wp:inline>
              </w:drawing>
            </w:r>
          </w:p>
        </w:tc>
        <w:tc>
          <w:tcPr>
            <w:tcW w:w="1843" w:type="dxa"/>
            <w:vAlign w:val="center"/>
          </w:tcPr>
          <w:p w14:paraId="187A3113" w14:textId="77777777" w:rsidR="0073012B" w:rsidRPr="002F4BC3" w:rsidRDefault="0073012B" w:rsidP="00806F8A">
            <w:pPr>
              <w:spacing w:before="0"/>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color w:val="000000"/>
              </w:rPr>
            </w:pPr>
            <w:r w:rsidRPr="002F4BC3">
              <w:rPr>
                <w:rFonts w:ascii="Calibri" w:eastAsia="Calibri" w:hAnsi="Calibri" w:cs="Times New Roman"/>
                <w:noProof/>
                <w:color w:val="000000"/>
              </w:rPr>
              <w:drawing>
                <wp:inline distT="0" distB="0" distL="0" distR="0" wp14:anchorId="0581C7A6" wp14:editId="5ED4D57D">
                  <wp:extent cx="238125" cy="238125"/>
                  <wp:effectExtent l="0" t="0" r="9525" b="9525"/>
                  <wp:docPr id="9" name="Graphic 9" descr="Improved efficiency, productivity and international competitive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35" cstate="print">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238125" cy="238125"/>
                          </a:xfrm>
                          <a:prstGeom prst="rect">
                            <a:avLst/>
                          </a:prstGeom>
                        </pic:spPr>
                      </pic:pic>
                    </a:graphicData>
                  </a:graphic>
                </wp:inline>
              </w:drawing>
            </w:r>
          </w:p>
        </w:tc>
        <w:tc>
          <w:tcPr>
            <w:tcW w:w="1843" w:type="dxa"/>
            <w:vAlign w:val="center"/>
          </w:tcPr>
          <w:p w14:paraId="22B97208" w14:textId="77777777" w:rsidR="0073012B" w:rsidRPr="002F4BC3" w:rsidRDefault="0073012B" w:rsidP="00806F8A">
            <w:pPr>
              <w:spacing w:before="0"/>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color w:val="000000"/>
              </w:rPr>
            </w:pPr>
            <w:r w:rsidRPr="002F4BC3">
              <w:rPr>
                <w:rFonts w:ascii="Calibri" w:eastAsia="Calibri" w:hAnsi="Calibri" w:cs="Times New Roman"/>
                <w:noProof/>
                <w:color w:val="000000"/>
              </w:rPr>
              <w:drawing>
                <wp:inline distT="0" distB="0" distL="0" distR="0" wp14:anchorId="260F005E" wp14:editId="288DD577">
                  <wp:extent cx="238125" cy="238125"/>
                  <wp:effectExtent l="0" t="0" r="9525" b="9525"/>
                  <wp:docPr id="11" name="Graphic 11" descr="Safe, secure and resilient supply cha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35" cstate="print">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238125" cy="238125"/>
                          </a:xfrm>
                          <a:prstGeom prst="rect">
                            <a:avLst/>
                          </a:prstGeom>
                        </pic:spPr>
                      </pic:pic>
                    </a:graphicData>
                  </a:graphic>
                </wp:inline>
              </w:drawing>
            </w:r>
          </w:p>
        </w:tc>
        <w:tc>
          <w:tcPr>
            <w:tcW w:w="1843" w:type="dxa"/>
            <w:vAlign w:val="center"/>
          </w:tcPr>
          <w:p w14:paraId="3F58655D" w14:textId="77777777" w:rsidR="0073012B" w:rsidRPr="002F4BC3" w:rsidRDefault="0073012B" w:rsidP="00806F8A">
            <w:pPr>
              <w:spacing w:before="0"/>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color w:val="000000"/>
              </w:rPr>
            </w:pPr>
          </w:p>
        </w:tc>
        <w:tc>
          <w:tcPr>
            <w:tcW w:w="1843" w:type="dxa"/>
            <w:vAlign w:val="center"/>
          </w:tcPr>
          <w:p w14:paraId="3D356D10" w14:textId="77777777" w:rsidR="0073012B" w:rsidRPr="002F4BC3" w:rsidRDefault="0073012B" w:rsidP="00806F8A">
            <w:pPr>
              <w:spacing w:before="0"/>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color w:val="000000"/>
              </w:rPr>
            </w:pPr>
          </w:p>
        </w:tc>
        <w:tc>
          <w:tcPr>
            <w:tcW w:w="1843" w:type="dxa"/>
            <w:vAlign w:val="center"/>
          </w:tcPr>
          <w:p w14:paraId="45A5D534" w14:textId="77777777" w:rsidR="0073012B" w:rsidRPr="002F4BC3" w:rsidRDefault="0073012B" w:rsidP="00806F8A">
            <w:pPr>
              <w:spacing w:before="0"/>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color w:val="000000"/>
              </w:rPr>
            </w:pPr>
            <w:r w:rsidRPr="002F4BC3">
              <w:rPr>
                <w:rFonts w:ascii="Calibri" w:eastAsia="Calibri" w:hAnsi="Calibri" w:cs="Times New Roman"/>
                <w:noProof/>
                <w:color w:val="000000"/>
              </w:rPr>
              <w:drawing>
                <wp:inline distT="0" distB="0" distL="0" distR="0" wp14:anchorId="6442FC5D" wp14:editId="78D85638">
                  <wp:extent cx="238125" cy="238125"/>
                  <wp:effectExtent l="0" t="0" r="9525" b="9525"/>
                  <wp:docPr id="12" name="Graphic 12" descr="An informed understanding and acceptance of freight ope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35" cstate="print">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238125" cy="238125"/>
                          </a:xfrm>
                          <a:prstGeom prst="rect">
                            <a:avLst/>
                          </a:prstGeom>
                        </pic:spPr>
                      </pic:pic>
                    </a:graphicData>
                  </a:graphic>
                </wp:inline>
              </w:drawing>
            </w:r>
          </w:p>
        </w:tc>
      </w:tr>
      <w:tr w:rsidR="0073012B" w:rsidRPr="002F4BC3" w14:paraId="533DAE0D" w14:textId="77777777" w:rsidTr="000272DA">
        <w:trPr>
          <w:cantSplit/>
        </w:trPr>
        <w:tc>
          <w:tcPr>
            <w:cnfStyle w:val="001000000000" w:firstRow="0" w:lastRow="0" w:firstColumn="1" w:lastColumn="0" w:oddVBand="0" w:evenVBand="0" w:oddHBand="0" w:evenHBand="0" w:firstRowFirstColumn="0" w:firstRowLastColumn="0" w:lastRowFirstColumn="0" w:lastRowLastColumn="0"/>
            <w:tcW w:w="1560" w:type="dxa"/>
            <w:vAlign w:val="center"/>
          </w:tcPr>
          <w:p w14:paraId="0CF0EC07" w14:textId="77777777" w:rsidR="0073012B" w:rsidRPr="002F4BC3" w:rsidRDefault="0073012B" w:rsidP="00806F8A">
            <w:pPr>
              <w:spacing w:before="0"/>
              <w:jc w:val="center"/>
              <w:rPr>
                <w:rFonts w:ascii="Calibri" w:eastAsia="Calibri" w:hAnsi="Calibri" w:cs="Times New Roman"/>
                <w:color w:val="000000"/>
              </w:rPr>
            </w:pPr>
            <w:r w:rsidRPr="002F4BC3">
              <w:rPr>
                <w:rFonts w:ascii="Calibri" w:eastAsia="Calibri" w:hAnsi="Calibri" w:cs="Times New Roman"/>
                <w:noProof/>
                <w:color w:val="000000"/>
              </w:rPr>
              <w:drawing>
                <wp:inline distT="0" distB="0" distL="0" distR="0" wp14:anchorId="1E70ABC4" wp14:editId="637A36C6">
                  <wp:extent cx="228600" cy="228600"/>
                  <wp:effectExtent l="0" t="0" r="0" b="0"/>
                  <wp:docPr id="62" name="Graphic 62" descr="Produ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inglegear.svg"/>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228600" cy="228600"/>
                          </a:xfrm>
                          <a:prstGeom prst="rect">
                            <a:avLst/>
                          </a:prstGeom>
                        </pic:spPr>
                      </pic:pic>
                    </a:graphicData>
                  </a:graphic>
                </wp:inline>
              </w:drawing>
            </w:r>
          </w:p>
        </w:tc>
        <w:tc>
          <w:tcPr>
            <w:tcW w:w="2835" w:type="dxa"/>
            <w:vAlign w:val="center"/>
          </w:tcPr>
          <w:p w14:paraId="119B858A" w14:textId="77777777" w:rsidR="0073012B" w:rsidRPr="002F4BC3" w:rsidRDefault="0073012B" w:rsidP="00806F8A">
            <w:pPr>
              <w:spacing w:before="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rPr>
            </w:pPr>
            <w:r w:rsidRPr="002F4BC3">
              <w:rPr>
                <w:rFonts w:ascii="Calibri" w:eastAsia="Calibri" w:hAnsi="Calibri" w:cs="Times New Roman"/>
                <w:color w:val="000000"/>
              </w:rPr>
              <w:t>Improve freight education and awareness in urban and industrial land use planning</w:t>
            </w:r>
          </w:p>
        </w:tc>
        <w:tc>
          <w:tcPr>
            <w:tcW w:w="1842" w:type="dxa"/>
            <w:vAlign w:val="center"/>
          </w:tcPr>
          <w:p w14:paraId="165EAD11" w14:textId="77777777" w:rsidR="0073012B" w:rsidRPr="002F4BC3" w:rsidRDefault="0073012B" w:rsidP="00806F8A">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rPr>
            </w:pPr>
          </w:p>
        </w:tc>
        <w:tc>
          <w:tcPr>
            <w:tcW w:w="1843" w:type="dxa"/>
            <w:vAlign w:val="center"/>
          </w:tcPr>
          <w:p w14:paraId="492225EA" w14:textId="77777777" w:rsidR="0073012B" w:rsidRPr="002F4BC3" w:rsidRDefault="0073012B" w:rsidP="00806F8A">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rPr>
            </w:pPr>
            <w:r w:rsidRPr="002F4BC3">
              <w:rPr>
                <w:rFonts w:ascii="Calibri" w:eastAsia="Calibri" w:hAnsi="Calibri" w:cs="Times New Roman"/>
                <w:noProof/>
                <w:color w:val="000000"/>
              </w:rPr>
              <w:drawing>
                <wp:inline distT="0" distB="0" distL="0" distR="0" wp14:anchorId="62942916" wp14:editId="68F9250E">
                  <wp:extent cx="238125" cy="238125"/>
                  <wp:effectExtent l="0" t="0" r="9525" b="9525"/>
                  <wp:docPr id="44" name="Graphic 44" descr="Improved efficiency, productivity and international competitive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35" cstate="print">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238125" cy="238125"/>
                          </a:xfrm>
                          <a:prstGeom prst="rect">
                            <a:avLst/>
                          </a:prstGeom>
                        </pic:spPr>
                      </pic:pic>
                    </a:graphicData>
                  </a:graphic>
                </wp:inline>
              </w:drawing>
            </w:r>
          </w:p>
        </w:tc>
        <w:tc>
          <w:tcPr>
            <w:tcW w:w="1843" w:type="dxa"/>
            <w:vAlign w:val="center"/>
          </w:tcPr>
          <w:p w14:paraId="3E155973" w14:textId="77777777" w:rsidR="0073012B" w:rsidRPr="002F4BC3" w:rsidRDefault="0073012B" w:rsidP="00806F8A">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rPr>
            </w:pPr>
            <w:r w:rsidRPr="002F4BC3">
              <w:rPr>
                <w:rFonts w:ascii="Calibri" w:eastAsia="Calibri" w:hAnsi="Calibri" w:cs="Times New Roman"/>
                <w:noProof/>
                <w:color w:val="000000"/>
              </w:rPr>
              <w:drawing>
                <wp:inline distT="0" distB="0" distL="0" distR="0" wp14:anchorId="390F71CA" wp14:editId="208D14D9">
                  <wp:extent cx="238125" cy="238125"/>
                  <wp:effectExtent l="0" t="0" r="9525" b="9525"/>
                  <wp:docPr id="13" name="Graphic 13" descr="Safe, secure and resilient supply cha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35" cstate="print">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238125" cy="238125"/>
                          </a:xfrm>
                          <a:prstGeom prst="rect">
                            <a:avLst/>
                          </a:prstGeom>
                        </pic:spPr>
                      </pic:pic>
                    </a:graphicData>
                  </a:graphic>
                </wp:inline>
              </w:drawing>
            </w:r>
          </w:p>
        </w:tc>
        <w:tc>
          <w:tcPr>
            <w:tcW w:w="1843" w:type="dxa"/>
            <w:vAlign w:val="center"/>
          </w:tcPr>
          <w:p w14:paraId="541569A4" w14:textId="77777777" w:rsidR="0073012B" w:rsidRPr="002F4BC3" w:rsidRDefault="0073012B" w:rsidP="00806F8A">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rPr>
            </w:pPr>
            <w:r w:rsidRPr="002F4BC3">
              <w:rPr>
                <w:rFonts w:ascii="Calibri" w:eastAsia="Calibri" w:hAnsi="Calibri" w:cs="Times New Roman"/>
                <w:noProof/>
                <w:color w:val="000000"/>
              </w:rPr>
              <w:drawing>
                <wp:inline distT="0" distB="0" distL="0" distR="0" wp14:anchorId="5F6580BA" wp14:editId="54084CBD">
                  <wp:extent cx="238125" cy="238125"/>
                  <wp:effectExtent l="0" t="0" r="9525" b="9525"/>
                  <wp:docPr id="14" name="Graphic 14" descr="A fit for purpose regulatory enviro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35" cstate="print">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238125" cy="238125"/>
                          </a:xfrm>
                          <a:prstGeom prst="rect">
                            <a:avLst/>
                          </a:prstGeom>
                        </pic:spPr>
                      </pic:pic>
                    </a:graphicData>
                  </a:graphic>
                </wp:inline>
              </w:drawing>
            </w:r>
          </w:p>
        </w:tc>
        <w:tc>
          <w:tcPr>
            <w:tcW w:w="1843" w:type="dxa"/>
            <w:vAlign w:val="center"/>
          </w:tcPr>
          <w:p w14:paraId="5482A2C0" w14:textId="77777777" w:rsidR="0073012B" w:rsidRPr="002F4BC3" w:rsidRDefault="0073012B" w:rsidP="00806F8A">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rPr>
            </w:pPr>
          </w:p>
        </w:tc>
        <w:tc>
          <w:tcPr>
            <w:tcW w:w="1843" w:type="dxa"/>
            <w:vAlign w:val="center"/>
          </w:tcPr>
          <w:p w14:paraId="32AA885A" w14:textId="77777777" w:rsidR="0073012B" w:rsidRPr="002F4BC3" w:rsidRDefault="0073012B" w:rsidP="00806F8A">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rPr>
            </w:pPr>
            <w:r w:rsidRPr="002F4BC3">
              <w:rPr>
                <w:rFonts w:ascii="Calibri" w:eastAsia="Calibri" w:hAnsi="Calibri" w:cs="Times New Roman"/>
                <w:noProof/>
                <w:color w:val="000000"/>
              </w:rPr>
              <w:drawing>
                <wp:inline distT="0" distB="0" distL="0" distR="0" wp14:anchorId="5D74E173" wp14:editId="67F9DD1B">
                  <wp:extent cx="238125" cy="238125"/>
                  <wp:effectExtent l="0" t="0" r="9525" b="9525"/>
                  <wp:docPr id="6" name="Graphic 6" descr="An informed understanding and acceptance of freight ope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35" cstate="print">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238125" cy="238125"/>
                          </a:xfrm>
                          <a:prstGeom prst="rect">
                            <a:avLst/>
                          </a:prstGeom>
                        </pic:spPr>
                      </pic:pic>
                    </a:graphicData>
                  </a:graphic>
                </wp:inline>
              </w:drawing>
            </w:r>
          </w:p>
        </w:tc>
      </w:tr>
      <w:tr w:rsidR="0073012B" w:rsidRPr="002F4BC3" w14:paraId="0FD72B05" w14:textId="77777777" w:rsidTr="000272D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60" w:type="dxa"/>
            <w:vAlign w:val="center"/>
          </w:tcPr>
          <w:p w14:paraId="004AFBE6" w14:textId="77777777" w:rsidR="0073012B" w:rsidRPr="002F4BC3" w:rsidRDefault="0073012B" w:rsidP="00806F8A">
            <w:pPr>
              <w:spacing w:before="0"/>
              <w:jc w:val="center"/>
              <w:rPr>
                <w:rFonts w:ascii="Calibri" w:eastAsia="Calibri" w:hAnsi="Calibri" w:cs="Times New Roman"/>
                <w:noProof/>
                <w:color w:val="000000"/>
              </w:rPr>
            </w:pPr>
            <w:r w:rsidRPr="002F4BC3">
              <w:rPr>
                <w:rFonts w:ascii="Calibri" w:eastAsia="Calibri" w:hAnsi="Calibri" w:cs="Times New Roman"/>
                <w:noProof/>
                <w:color w:val="000000"/>
              </w:rPr>
              <w:drawing>
                <wp:inline distT="0" distB="0" distL="0" distR="0" wp14:anchorId="77A436F6" wp14:editId="71DD799E">
                  <wp:extent cx="228600" cy="228600"/>
                  <wp:effectExtent l="0" t="0" r="0" b="0"/>
                  <wp:docPr id="63" name="Graphic 63" descr="Produ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inglegear.svg"/>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228600" cy="228600"/>
                          </a:xfrm>
                          <a:prstGeom prst="rect">
                            <a:avLst/>
                          </a:prstGeom>
                        </pic:spPr>
                      </pic:pic>
                    </a:graphicData>
                  </a:graphic>
                </wp:inline>
              </w:drawing>
            </w:r>
          </w:p>
        </w:tc>
        <w:tc>
          <w:tcPr>
            <w:tcW w:w="2835" w:type="dxa"/>
            <w:vAlign w:val="center"/>
          </w:tcPr>
          <w:p w14:paraId="57AE4B7E" w14:textId="77777777" w:rsidR="0073012B" w:rsidRPr="002F4BC3" w:rsidRDefault="0073012B" w:rsidP="00806F8A">
            <w:pPr>
              <w:spacing w:before="0"/>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color w:val="000000"/>
              </w:rPr>
            </w:pPr>
            <w:r w:rsidRPr="002F4BC3">
              <w:rPr>
                <w:rFonts w:ascii="Calibri" w:eastAsia="Calibri" w:hAnsi="Calibri" w:cs="Times New Roman"/>
                <w:color w:val="000000"/>
              </w:rPr>
              <w:t>Promote the uptake of technology to improve safety and productivity</w:t>
            </w:r>
          </w:p>
        </w:tc>
        <w:tc>
          <w:tcPr>
            <w:tcW w:w="1842" w:type="dxa"/>
            <w:vAlign w:val="center"/>
          </w:tcPr>
          <w:p w14:paraId="54930FAB" w14:textId="77777777" w:rsidR="0073012B" w:rsidRPr="002F4BC3" w:rsidRDefault="0073012B" w:rsidP="00806F8A">
            <w:pPr>
              <w:spacing w:before="0"/>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color w:val="000000"/>
              </w:rPr>
            </w:pPr>
          </w:p>
        </w:tc>
        <w:tc>
          <w:tcPr>
            <w:tcW w:w="1843" w:type="dxa"/>
            <w:vAlign w:val="center"/>
          </w:tcPr>
          <w:p w14:paraId="28CCF4C1" w14:textId="77777777" w:rsidR="0073012B" w:rsidRPr="002F4BC3" w:rsidRDefault="0073012B" w:rsidP="00806F8A">
            <w:pPr>
              <w:spacing w:before="0"/>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color w:val="000000"/>
              </w:rPr>
            </w:pPr>
            <w:r w:rsidRPr="002F4BC3">
              <w:rPr>
                <w:rFonts w:ascii="Calibri" w:eastAsia="Calibri" w:hAnsi="Calibri" w:cs="Times New Roman"/>
                <w:noProof/>
                <w:color w:val="000000"/>
              </w:rPr>
              <w:drawing>
                <wp:inline distT="0" distB="0" distL="0" distR="0" wp14:anchorId="588FA526" wp14:editId="19BF7B4C">
                  <wp:extent cx="238125" cy="238125"/>
                  <wp:effectExtent l="0" t="0" r="9525" b="9525"/>
                  <wp:docPr id="16" name="Graphic 16" descr="Improved efficiency, productivity and international competitive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35" cstate="print">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238125" cy="238125"/>
                          </a:xfrm>
                          <a:prstGeom prst="rect">
                            <a:avLst/>
                          </a:prstGeom>
                        </pic:spPr>
                      </pic:pic>
                    </a:graphicData>
                  </a:graphic>
                </wp:inline>
              </w:drawing>
            </w:r>
          </w:p>
        </w:tc>
        <w:tc>
          <w:tcPr>
            <w:tcW w:w="1843" w:type="dxa"/>
            <w:vAlign w:val="center"/>
          </w:tcPr>
          <w:p w14:paraId="59D65D96" w14:textId="77777777" w:rsidR="0073012B" w:rsidRPr="002F4BC3" w:rsidRDefault="0073012B" w:rsidP="00806F8A">
            <w:pPr>
              <w:spacing w:before="0"/>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color w:val="000000"/>
              </w:rPr>
            </w:pPr>
            <w:r w:rsidRPr="002F4BC3">
              <w:rPr>
                <w:rFonts w:ascii="Calibri" w:eastAsia="Calibri" w:hAnsi="Calibri" w:cs="Times New Roman"/>
                <w:noProof/>
                <w:color w:val="000000"/>
              </w:rPr>
              <w:drawing>
                <wp:inline distT="0" distB="0" distL="0" distR="0" wp14:anchorId="61E9D9F0" wp14:editId="635AC964">
                  <wp:extent cx="238125" cy="238125"/>
                  <wp:effectExtent l="0" t="0" r="9525" b="9525"/>
                  <wp:docPr id="54" name="Graphic 54" descr="Safe, secure and resilient supply cha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35" cstate="print">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238125" cy="238125"/>
                          </a:xfrm>
                          <a:prstGeom prst="rect">
                            <a:avLst/>
                          </a:prstGeom>
                        </pic:spPr>
                      </pic:pic>
                    </a:graphicData>
                  </a:graphic>
                </wp:inline>
              </w:drawing>
            </w:r>
          </w:p>
        </w:tc>
        <w:tc>
          <w:tcPr>
            <w:tcW w:w="1843" w:type="dxa"/>
            <w:vAlign w:val="center"/>
          </w:tcPr>
          <w:p w14:paraId="0FD13CA8" w14:textId="77777777" w:rsidR="0073012B" w:rsidRPr="002F4BC3" w:rsidRDefault="0073012B" w:rsidP="00806F8A">
            <w:pPr>
              <w:spacing w:before="0"/>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color w:val="000000"/>
              </w:rPr>
            </w:pPr>
            <w:r w:rsidRPr="002F4BC3">
              <w:rPr>
                <w:rFonts w:ascii="Calibri" w:eastAsia="Calibri" w:hAnsi="Calibri" w:cs="Times New Roman"/>
                <w:noProof/>
                <w:color w:val="000000"/>
              </w:rPr>
              <w:drawing>
                <wp:inline distT="0" distB="0" distL="0" distR="0" wp14:anchorId="2CECEF2D" wp14:editId="18A04FC4">
                  <wp:extent cx="238125" cy="238125"/>
                  <wp:effectExtent l="0" t="0" r="9525" b="9525"/>
                  <wp:docPr id="17" name="Graphic 17" descr="A fit for purpose regulatory enviro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35" cstate="print">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238125" cy="238125"/>
                          </a:xfrm>
                          <a:prstGeom prst="rect">
                            <a:avLst/>
                          </a:prstGeom>
                        </pic:spPr>
                      </pic:pic>
                    </a:graphicData>
                  </a:graphic>
                </wp:inline>
              </w:drawing>
            </w:r>
          </w:p>
        </w:tc>
        <w:tc>
          <w:tcPr>
            <w:tcW w:w="1843" w:type="dxa"/>
            <w:vAlign w:val="center"/>
          </w:tcPr>
          <w:p w14:paraId="6910A17E" w14:textId="77777777" w:rsidR="0073012B" w:rsidRPr="002F4BC3" w:rsidRDefault="0073012B" w:rsidP="00806F8A">
            <w:pPr>
              <w:spacing w:before="0"/>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color w:val="000000"/>
              </w:rPr>
            </w:pPr>
          </w:p>
        </w:tc>
        <w:tc>
          <w:tcPr>
            <w:tcW w:w="1843" w:type="dxa"/>
            <w:vAlign w:val="center"/>
          </w:tcPr>
          <w:p w14:paraId="3E103BE9" w14:textId="77777777" w:rsidR="0073012B" w:rsidRPr="002F4BC3" w:rsidRDefault="0073012B" w:rsidP="00806F8A">
            <w:pPr>
              <w:spacing w:before="0"/>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color w:val="000000"/>
              </w:rPr>
            </w:pPr>
          </w:p>
        </w:tc>
      </w:tr>
      <w:tr w:rsidR="0073012B" w:rsidRPr="002F4BC3" w14:paraId="4C12D680" w14:textId="77777777" w:rsidTr="000272DA">
        <w:trPr>
          <w:cantSplit/>
        </w:trPr>
        <w:tc>
          <w:tcPr>
            <w:cnfStyle w:val="001000000000" w:firstRow="0" w:lastRow="0" w:firstColumn="1" w:lastColumn="0" w:oddVBand="0" w:evenVBand="0" w:oddHBand="0" w:evenHBand="0" w:firstRowFirstColumn="0" w:firstRowLastColumn="0" w:lastRowFirstColumn="0" w:lastRowLastColumn="0"/>
            <w:tcW w:w="1560" w:type="dxa"/>
            <w:vAlign w:val="center"/>
          </w:tcPr>
          <w:p w14:paraId="4C9A1C55" w14:textId="77777777" w:rsidR="0073012B" w:rsidRPr="002F4BC3" w:rsidRDefault="0073012B" w:rsidP="00806F8A">
            <w:pPr>
              <w:spacing w:before="0"/>
              <w:jc w:val="center"/>
              <w:rPr>
                <w:rFonts w:ascii="Calibri" w:eastAsia="Calibri" w:hAnsi="Calibri" w:cs="Times New Roman"/>
                <w:color w:val="000000"/>
              </w:rPr>
            </w:pPr>
            <w:r w:rsidRPr="002F4BC3">
              <w:rPr>
                <w:rFonts w:ascii="Calibri" w:eastAsia="Calibri" w:hAnsi="Calibri" w:cs="Times New Roman"/>
                <w:noProof/>
                <w:color w:val="000000"/>
              </w:rPr>
              <w:drawing>
                <wp:inline distT="0" distB="0" distL="0" distR="0" wp14:anchorId="5920D171" wp14:editId="5B0FC194">
                  <wp:extent cx="203835" cy="203835"/>
                  <wp:effectExtent l="0" t="0" r="5715" b="5715"/>
                  <wp:docPr id="53" name="Graphic 53" descr="Resil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arning.svg"/>
                          <pic:cNvPicPr/>
                        </pic:nvPicPr>
                        <pic:blipFill>
                          <a:blip r:embed="rId29" cstate="print">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203835" cy="203835"/>
                          </a:xfrm>
                          <a:prstGeom prst="rect">
                            <a:avLst/>
                          </a:prstGeom>
                        </pic:spPr>
                      </pic:pic>
                    </a:graphicData>
                  </a:graphic>
                </wp:inline>
              </w:drawing>
            </w:r>
          </w:p>
        </w:tc>
        <w:tc>
          <w:tcPr>
            <w:tcW w:w="2835" w:type="dxa"/>
            <w:vAlign w:val="center"/>
          </w:tcPr>
          <w:p w14:paraId="4F3DC796" w14:textId="18192DDB" w:rsidR="0073012B" w:rsidRPr="002F4BC3" w:rsidRDefault="0073012B" w:rsidP="00806F8A">
            <w:pPr>
              <w:spacing w:before="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rPr>
            </w:pPr>
            <w:r w:rsidRPr="002F4BC3">
              <w:rPr>
                <w:rFonts w:ascii="Calibri" w:eastAsia="Calibri" w:hAnsi="Calibri" w:cs="Times New Roman"/>
                <w:color w:val="000000"/>
              </w:rPr>
              <w:t>Develop a National Freight Resilience Plan</w:t>
            </w:r>
          </w:p>
        </w:tc>
        <w:tc>
          <w:tcPr>
            <w:tcW w:w="1842" w:type="dxa"/>
            <w:vAlign w:val="center"/>
          </w:tcPr>
          <w:p w14:paraId="101EB61D" w14:textId="77777777" w:rsidR="0073012B" w:rsidRPr="002F4BC3" w:rsidRDefault="0073012B" w:rsidP="00806F8A">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rPr>
            </w:pPr>
          </w:p>
        </w:tc>
        <w:tc>
          <w:tcPr>
            <w:tcW w:w="1843" w:type="dxa"/>
            <w:vAlign w:val="center"/>
          </w:tcPr>
          <w:p w14:paraId="053D2A3D" w14:textId="77777777" w:rsidR="0073012B" w:rsidRPr="002F4BC3" w:rsidRDefault="0073012B" w:rsidP="00806F8A">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rPr>
            </w:pPr>
          </w:p>
        </w:tc>
        <w:tc>
          <w:tcPr>
            <w:tcW w:w="1843" w:type="dxa"/>
            <w:vAlign w:val="center"/>
          </w:tcPr>
          <w:p w14:paraId="168A2660" w14:textId="77777777" w:rsidR="0073012B" w:rsidRPr="002F4BC3" w:rsidRDefault="0073012B" w:rsidP="00806F8A">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rPr>
            </w:pPr>
            <w:r w:rsidRPr="002F4BC3">
              <w:rPr>
                <w:rFonts w:ascii="Calibri" w:eastAsia="Calibri" w:hAnsi="Calibri" w:cs="Times New Roman"/>
                <w:noProof/>
                <w:color w:val="000000"/>
              </w:rPr>
              <w:drawing>
                <wp:inline distT="0" distB="0" distL="0" distR="0" wp14:anchorId="06822954" wp14:editId="4A7837D5">
                  <wp:extent cx="238125" cy="238125"/>
                  <wp:effectExtent l="0" t="0" r="9525" b="9525"/>
                  <wp:docPr id="15" name="Graphic 15" descr="Safe, secure and resilient supply cha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35" cstate="print">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238125" cy="238125"/>
                          </a:xfrm>
                          <a:prstGeom prst="rect">
                            <a:avLst/>
                          </a:prstGeom>
                        </pic:spPr>
                      </pic:pic>
                    </a:graphicData>
                  </a:graphic>
                </wp:inline>
              </w:drawing>
            </w:r>
          </w:p>
        </w:tc>
        <w:tc>
          <w:tcPr>
            <w:tcW w:w="1843" w:type="dxa"/>
            <w:vAlign w:val="center"/>
          </w:tcPr>
          <w:p w14:paraId="4CEEFDE7" w14:textId="77777777" w:rsidR="0073012B" w:rsidRPr="002F4BC3" w:rsidRDefault="0073012B" w:rsidP="00806F8A">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rPr>
            </w:pPr>
          </w:p>
        </w:tc>
        <w:tc>
          <w:tcPr>
            <w:tcW w:w="1843" w:type="dxa"/>
            <w:vAlign w:val="center"/>
          </w:tcPr>
          <w:p w14:paraId="078F5645" w14:textId="77777777" w:rsidR="0073012B" w:rsidRPr="002F4BC3" w:rsidRDefault="0073012B" w:rsidP="00806F8A">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rPr>
            </w:pPr>
          </w:p>
        </w:tc>
        <w:tc>
          <w:tcPr>
            <w:tcW w:w="1843" w:type="dxa"/>
            <w:vAlign w:val="center"/>
          </w:tcPr>
          <w:p w14:paraId="20ED5642" w14:textId="77777777" w:rsidR="0073012B" w:rsidRPr="002F4BC3" w:rsidRDefault="0073012B" w:rsidP="00806F8A">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rPr>
            </w:pPr>
          </w:p>
        </w:tc>
      </w:tr>
      <w:tr w:rsidR="0073012B" w:rsidRPr="002F4BC3" w14:paraId="0F145CB8" w14:textId="77777777" w:rsidTr="000272D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60" w:type="dxa"/>
            <w:vAlign w:val="center"/>
          </w:tcPr>
          <w:p w14:paraId="09BBD301" w14:textId="1900FBB5" w:rsidR="0073012B" w:rsidRPr="002F4BC3" w:rsidRDefault="0073012B" w:rsidP="00806F8A">
            <w:pPr>
              <w:spacing w:before="0"/>
              <w:jc w:val="center"/>
              <w:rPr>
                <w:rFonts w:ascii="Calibri" w:eastAsia="Calibri" w:hAnsi="Calibri" w:cs="Times New Roman"/>
                <w:color w:val="000000"/>
              </w:rPr>
            </w:pPr>
            <w:r w:rsidRPr="002F4BC3">
              <w:rPr>
                <w:rFonts w:ascii="Calibri" w:eastAsia="Calibri" w:hAnsi="Calibri" w:cs="Times New Roman"/>
                <w:noProof/>
                <w:color w:val="000000"/>
              </w:rPr>
              <w:drawing>
                <wp:inline distT="0" distB="0" distL="0" distR="0" wp14:anchorId="0102C8B0" wp14:editId="62D9C766">
                  <wp:extent cx="203835" cy="203835"/>
                  <wp:effectExtent l="0" t="0" r="5715" b="5715"/>
                  <wp:docPr id="55" name="Graphic 55" descr="Resil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arning.svg"/>
                          <pic:cNvPicPr/>
                        </pic:nvPicPr>
                        <pic:blipFill>
                          <a:blip r:embed="rId29" cstate="print">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203835" cy="203835"/>
                          </a:xfrm>
                          <a:prstGeom prst="rect">
                            <a:avLst/>
                          </a:prstGeom>
                        </pic:spPr>
                      </pic:pic>
                    </a:graphicData>
                  </a:graphic>
                </wp:inline>
              </w:drawing>
            </w:r>
            <w:r w:rsidRPr="002F4BC3">
              <w:rPr>
                <w:rFonts w:ascii="Calibri" w:eastAsia="Calibri" w:hAnsi="Calibri" w:cs="Times New Roman"/>
                <w:noProof/>
                <w:color w:val="000000"/>
              </w:rPr>
              <w:drawing>
                <wp:inline distT="0" distB="0" distL="0" distR="0" wp14:anchorId="57C38E7D" wp14:editId="043E2F13">
                  <wp:extent cx="222885" cy="222885"/>
                  <wp:effectExtent l="0" t="0" r="5715" b="5715"/>
                  <wp:docPr id="56" name="Graphic 56" descr="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tatistics_ltr.svg"/>
                          <pic:cNvPicPr/>
                        </pic:nvPicPr>
                        <pic:blipFill>
                          <a:blip r:embed="rId33" cstate="print">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a:xfrm>
                            <a:off x="0" y="0"/>
                            <a:ext cx="222885" cy="222885"/>
                          </a:xfrm>
                          <a:prstGeom prst="rect">
                            <a:avLst/>
                          </a:prstGeom>
                        </pic:spPr>
                      </pic:pic>
                    </a:graphicData>
                  </a:graphic>
                </wp:inline>
              </w:drawing>
            </w:r>
          </w:p>
        </w:tc>
        <w:tc>
          <w:tcPr>
            <w:tcW w:w="2835" w:type="dxa"/>
            <w:vAlign w:val="center"/>
          </w:tcPr>
          <w:p w14:paraId="059A936D" w14:textId="77777777" w:rsidR="0073012B" w:rsidRPr="002F4BC3" w:rsidRDefault="0073012B" w:rsidP="00806F8A">
            <w:pPr>
              <w:spacing w:before="0"/>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color w:val="000000"/>
              </w:rPr>
            </w:pPr>
            <w:r w:rsidRPr="002F4BC3">
              <w:rPr>
                <w:rFonts w:ascii="Calibri" w:eastAsia="Calibri" w:hAnsi="Calibri" w:cs="Times New Roman"/>
                <w:color w:val="000000"/>
              </w:rPr>
              <w:t>Conduct periodic supply chain risk and resilience modelling</w:t>
            </w:r>
          </w:p>
        </w:tc>
        <w:tc>
          <w:tcPr>
            <w:tcW w:w="1842" w:type="dxa"/>
            <w:vAlign w:val="center"/>
          </w:tcPr>
          <w:p w14:paraId="161669B5" w14:textId="77777777" w:rsidR="0073012B" w:rsidRPr="002F4BC3" w:rsidRDefault="0073012B" w:rsidP="00806F8A">
            <w:pPr>
              <w:spacing w:before="0"/>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color w:val="000000"/>
              </w:rPr>
            </w:pPr>
          </w:p>
        </w:tc>
        <w:tc>
          <w:tcPr>
            <w:tcW w:w="1843" w:type="dxa"/>
            <w:vAlign w:val="center"/>
          </w:tcPr>
          <w:p w14:paraId="74E20590" w14:textId="77777777" w:rsidR="0073012B" w:rsidRPr="002F4BC3" w:rsidRDefault="0073012B" w:rsidP="00806F8A">
            <w:pPr>
              <w:spacing w:before="0"/>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color w:val="000000"/>
              </w:rPr>
            </w:pPr>
          </w:p>
        </w:tc>
        <w:tc>
          <w:tcPr>
            <w:tcW w:w="1843" w:type="dxa"/>
            <w:vAlign w:val="center"/>
          </w:tcPr>
          <w:p w14:paraId="1DFC6A16" w14:textId="77777777" w:rsidR="0073012B" w:rsidRPr="002F4BC3" w:rsidRDefault="0073012B" w:rsidP="00806F8A">
            <w:pPr>
              <w:spacing w:before="0"/>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color w:val="000000"/>
              </w:rPr>
            </w:pPr>
            <w:r w:rsidRPr="002F4BC3">
              <w:rPr>
                <w:rFonts w:ascii="Calibri" w:eastAsia="Calibri" w:hAnsi="Calibri" w:cs="Times New Roman"/>
                <w:noProof/>
                <w:color w:val="000000"/>
              </w:rPr>
              <w:drawing>
                <wp:inline distT="0" distB="0" distL="0" distR="0" wp14:anchorId="60A0A153" wp14:editId="0D59DA8D">
                  <wp:extent cx="238125" cy="238125"/>
                  <wp:effectExtent l="0" t="0" r="9525" b="9525"/>
                  <wp:docPr id="18" name="Graphic 18" descr="Safe, secure and resilient supply cha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35" cstate="print">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238125" cy="238125"/>
                          </a:xfrm>
                          <a:prstGeom prst="rect">
                            <a:avLst/>
                          </a:prstGeom>
                        </pic:spPr>
                      </pic:pic>
                    </a:graphicData>
                  </a:graphic>
                </wp:inline>
              </w:drawing>
            </w:r>
          </w:p>
        </w:tc>
        <w:tc>
          <w:tcPr>
            <w:tcW w:w="1843" w:type="dxa"/>
            <w:vAlign w:val="center"/>
          </w:tcPr>
          <w:p w14:paraId="777EA2BC" w14:textId="77777777" w:rsidR="0073012B" w:rsidRPr="002F4BC3" w:rsidRDefault="0073012B" w:rsidP="00806F8A">
            <w:pPr>
              <w:spacing w:before="0"/>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color w:val="000000"/>
              </w:rPr>
            </w:pPr>
          </w:p>
        </w:tc>
        <w:tc>
          <w:tcPr>
            <w:tcW w:w="1843" w:type="dxa"/>
            <w:vAlign w:val="center"/>
          </w:tcPr>
          <w:p w14:paraId="5035F0D8" w14:textId="77777777" w:rsidR="0073012B" w:rsidRPr="002F4BC3" w:rsidRDefault="0073012B" w:rsidP="00806F8A">
            <w:pPr>
              <w:spacing w:before="0"/>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color w:val="000000"/>
              </w:rPr>
            </w:pPr>
          </w:p>
        </w:tc>
        <w:tc>
          <w:tcPr>
            <w:tcW w:w="1843" w:type="dxa"/>
            <w:vAlign w:val="center"/>
          </w:tcPr>
          <w:p w14:paraId="406573B2" w14:textId="77777777" w:rsidR="0073012B" w:rsidRPr="002F4BC3" w:rsidRDefault="0073012B" w:rsidP="00806F8A">
            <w:pPr>
              <w:spacing w:before="0"/>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color w:val="000000"/>
              </w:rPr>
            </w:pPr>
          </w:p>
        </w:tc>
      </w:tr>
      <w:tr w:rsidR="0073012B" w:rsidRPr="002F4BC3" w14:paraId="7F092C13" w14:textId="77777777" w:rsidTr="000272DA">
        <w:trPr>
          <w:cantSplit/>
        </w:trPr>
        <w:tc>
          <w:tcPr>
            <w:cnfStyle w:val="001000000000" w:firstRow="0" w:lastRow="0" w:firstColumn="1" w:lastColumn="0" w:oddVBand="0" w:evenVBand="0" w:oddHBand="0" w:evenHBand="0" w:firstRowFirstColumn="0" w:firstRowLastColumn="0" w:lastRowFirstColumn="0" w:lastRowLastColumn="0"/>
            <w:tcW w:w="1560" w:type="dxa"/>
            <w:vAlign w:val="center"/>
          </w:tcPr>
          <w:p w14:paraId="1B35A549" w14:textId="77777777" w:rsidR="0073012B" w:rsidRPr="002F4BC3" w:rsidRDefault="0073012B" w:rsidP="00806F8A">
            <w:pPr>
              <w:spacing w:before="0"/>
              <w:jc w:val="center"/>
              <w:rPr>
                <w:rFonts w:ascii="Calibri" w:eastAsia="Calibri" w:hAnsi="Calibri" w:cs="Times New Roman"/>
                <w:color w:val="000000"/>
              </w:rPr>
            </w:pPr>
            <w:r w:rsidRPr="002F4BC3">
              <w:rPr>
                <w:rFonts w:ascii="Calibri" w:eastAsia="Calibri" w:hAnsi="Calibri" w:cs="Times New Roman"/>
                <w:noProof/>
                <w:color w:val="000000"/>
              </w:rPr>
              <w:drawing>
                <wp:inline distT="0" distB="0" distL="0" distR="0" wp14:anchorId="4B220E31" wp14:editId="748745C4">
                  <wp:extent cx="228600" cy="228600"/>
                  <wp:effectExtent l="0" t="0" r="0" b="0"/>
                  <wp:docPr id="76" name="Graphic 76" descr="Produ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inglegear.svg"/>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228600" cy="228600"/>
                          </a:xfrm>
                          <a:prstGeom prst="rect">
                            <a:avLst/>
                          </a:prstGeom>
                        </pic:spPr>
                      </pic:pic>
                    </a:graphicData>
                  </a:graphic>
                </wp:inline>
              </w:drawing>
            </w:r>
            <w:r w:rsidRPr="002F4BC3">
              <w:rPr>
                <w:rFonts w:ascii="Calibri" w:eastAsia="Calibri" w:hAnsi="Calibri" w:cs="Times New Roman"/>
                <w:noProof/>
                <w:color w:val="000000"/>
              </w:rPr>
              <w:drawing>
                <wp:inline distT="0" distB="0" distL="0" distR="0" wp14:anchorId="048C537D" wp14:editId="166B8973">
                  <wp:extent cx="203835" cy="203835"/>
                  <wp:effectExtent l="0" t="0" r="5715" b="5715"/>
                  <wp:docPr id="59" name="Graphic 59" descr="Resil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arning.svg"/>
                          <pic:cNvPicPr/>
                        </pic:nvPicPr>
                        <pic:blipFill>
                          <a:blip r:embed="rId29" cstate="print">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203835" cy="203835"/>
                          </a:xfrm>
                          <a:prstGeom prst="rect">
                            <a:avLst/>
                          </a:prstGeom>
                        </pic:spPr>
                      </pic:pic>
                    </a:graphicData>
                  </a:graphic>
                </wp:inline>
              </w:drawing>
            </w:r>
          </w:p>
        </w:tc>
        <w:tc>
          <w:tcPr>
            <w:tcW w:w="2835" w:type="dxa"/>
            <w:vAlign w:val="center"/>
          </w:tcPr>
          <w:p w14:paraId="74129BF6" w14:textId="77777777" w:rsidR="0073012B" w:rsidRPr="002F4BC3" w:rsidRDefault="0073012B" w:rsidP="00806F8A">
            <w:pPr>
              <w:spacing w:before="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rPr>
            </w:pPr>
            <w:r w:rsidRPr="002F4BC3">
              <w:rPr>
                <w:rFonts w:ascii="Calibri" w:eastAsia="Calibri" w:hAnsi="Calibri" w:cs="Times New Roman"/>
                <w:color w:val="000000"/>
              </w:rPr>
              <w:t>Develop a Freight Infrastructure Investment Framework</w:t>
            </w:r>
          </w:p>
        </w:tc>
        <w:tc>
          <w:tcPr>
            <w:tcW w:w="1842" w:type="dxa"/>
            <w:vAlign w:val="center"/>
          </w:tcPr>
          <w:p w14:paraId="08F62049" w14:textId="77777777" w:rsidR="0073012B" w:rsidRPr="002F4BC3" w:rsidRDefault="0073012B" w:rsidP="00806F8A">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rPr>
            </w:pPr>
          </w:p>
        </w:tc>
        <w:tc>
          <w:tcPr>
            <w:tcW w:w="1843" w:type="dxa"/>
            <w:vAlign w:val="center"/>
          </w:tcPr>
          <w:p w14:paraId="654143FE" w14:textId="77777777" w:rsidR="0073012B" w:rsidRPr="002F4BC3" w:rsidRDefault="0073012B" w:rsidP="00806F8A">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rPr>
            </w:pPr>
            <w:r w:rsidRPr="002F4BC3">
              <w:rPr>
                <w:rFonts w:ascii="Calibri" w:eastAsia="Calibri" w:hAnsi="Calibri" w:cs="Times New Roman"/>
                <w:noProof/>
                <w:color w:val="000000"/>
              </w:rPr>
              <w:drawing>
                <wp:inline distT="0" distB="0" distL="0" distR="0" wp14:anchorId="3684CC9B" wp14:editId="1FAA2942">
                  <wp:extent cx="238125" cy="238125"/>
                  <wp:effectExtent l="0" t="0" r="9525" b="9525"/>
                  <wp:docPr id="75" name="Graphic 75" descr="Improved efficiency, productivity and international competitive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35" cstate="print">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238125" cy="238125"/>
                          </a:xfrm>
                          <a:prstGeom prst="rect">
                            <a:avLst/>
                          </a:prstGeom>
                        </pic:spPr>
                      </pic:pic>
                    </a:graphicData>
                  </a:graphic>
                </wp:inline>
              </w:drawing>
            </w:r>
          </w:p>
        </w:tc>
        <w:tc>
          <w:tcPr>
            <w:tcW w:w="1843" w:type="dxa"/>
            <w:vAlign w:val="center"/>
          </w:tcPr>
          <w:p w14:paraId="13DA5F50" w14:textId="77777777" w:rsidR="0073012B" w:rsidRPr="002F4BC3" w:rsidRDefault="0073012B" w:rsidP="00806F8A">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rPr>
            </w:pPr>
            <w:r w:rsidRPr="002F4BC3">
              <w:rPr>
                <w:rFonts w:ascii="Calibri" w:eastAsia="Calibri" w:hAnsi="Calibri" w:cs="Times New Roman"/>
                <w:noProof/>
                <w:color w:val="000000"/>
              </w:rPr>
              <w:drawing>
                <wp:inline distT="0" distB="0" distL="0" distR="0" wp14:anchorId="5DFD7F5F" wp14:editId="610C5AC4">
                  <wp:extent cx="238125" cy="238125"/>
                  <wp:effectExtent l="0" t="0" r="9525" b="9525"/>
                  <wp:docPr id="20" name="Graphic 20" descr="Safe, secure and resilient supply cha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35" cstate="print">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238125" cy="238125"/>
                          </a:xfrm>
                          <a:prstGeom prst="rect">
                            <a:avLst/>
                          </a:prstGeom>
                        </pic:spPr>
                      </pic:pic>
                    </a:graphicData>
                  </a:graphic>
                </wp:inline>
              </w:drawing>
            </w:r>
          </w:p>
        </w:tc>
        <w:tc>
          <w:tcPr>
            <w:tcW w:w="1843" w:type="dxa"/>
            <w:vAlign w:val="center"/>
          </w:tcPr>
          <w:p w14:paraId="3B873317" w14:textId="77777777" w:rsidR="0073012B" w:rsidRPr="002F4BC3" w:rsidRDefault="0073012B" w:rsidP="00806F8A">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rPr>
            </w:pPr>
          </w:p>
        </w:tc>
        <w:tc>
          <w:tcPr>
            <w:tcW w:w="1843" w:type="dxa"/>
            <w:vAlign w:val="center"/>
          </w:tcPr>
          <w:p w14:paraId="4CBFC795" w14:textId="77777777" w:rsidR="0073012B" w:rsidRPr="002F4BC3" w:rsidRDefault="0073012B" w:rsidP="00806F8A">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rPr>
            </w:pPr>
          </w:p>
        </w:tc>
        <w:tc>
          <w:tcPr>
            <w:tcW w:w="1843" w:type="dxa"/>
            <w:vAlign w:val="center"/>
          </w:tcPr>
          <w:p w14:paraId="74586AE1" w14:textId="77777777" w:rsidR="0073012B" w:rsidRPr="002F4BC3" w:rsidRDefault="0073012B" w:rsidP="00806F8A">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rPr>
            </w:pPr>
          </w:p>
        </w:tc>
      </w:tr>
      <w:tr w:rsidR="0073012B" w:rsidRPr="002F4BC3" w14:paraId="5D146BEB" w14:textId="77777777" w:rsidTr="000272D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60" w:type="dxa"/>
            <w:vAlign w:val="center"/>
          </w:tcPr>
          <w:p w14:paraId="1DECDC4D" w14:textId="77777777" w:rsidR="0073012B" w:rsidRPr="002F4BC3" w:rsidRDefault="0073012B" w:rsidP="00806F8A">
            <w:pPr>
              <w:spacing w:before="0"/>
              <w:jc w:val="center"/>
              <w:rPr>
                <w:rFonts w:ascii="Calibri" w:eastAsia="Calibri" w:hAnsi="Calibri" w:cs="Times New Roman"/>
                <w:color w:val="000000"/>
              </w:rPr>
            </w:pPr>
            <w:r w:rsidRPr="002F4BC3">
              <w:rPr>
                <w:rFonts w:ascii="Calibri" w:eastAsia="Calibri" w:hAnsi="Calibri" w:cs="Times New Roman"/>
                <w:noProof/>
                <w:color w:val="000000"/>
              </w:rPr>
              <w:drawing>
                <wp:inline distT="0" distB="0" distL="0" distR="0" wp14:anchorId="320309B0" wp14:editId="399781C6">
                  <wp:extent cx="182880" cy="182880"/>
                  <wp:effectExtent l="0" t="0" r="7620" b="7620"/>
                  <wp:docPr id="64" name="Picture 64" descr="Resil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descr="Warni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r w:rsidRPr="002F4BC3">
              <w:rPr>
                <w:rFonts w:ascii="Calibri" w:eastAsia="Calibri" w:hAnsi="Calibri" w:cs="Times New Roman"/>
                <w:noProof/>
                <w:color w:val="000000"/>
              </w:rPr>
              <w:drawing>
                <wp:inline distT="0" distB="0" distL="0" distR="0" wp14:anchorId="045A64CC" wp14:editId="1AD98DC0">
                  <wp:extent cx="228600" cy="228600"/>
                  <wp:effectExtent l="0" t="0" r="0" b="0"/>
                  <wp:docPr id="67" name="Graphic 67" descr="Produ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inglegear.svg"/>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228600" cy="228600"/>
                          </a:xfrm>
                          <a:prstGeom prst="rect">
                            <a:avLst/>
                          </a:prstGeom>
                        </pic:spPr>
                      </pic:pic>
                    </a:graphicData>
                  </a:graphic>
                </wp:inline>
              </w:drawing>
            </w:r>
          </w:p>
        </w:tc>
        <w:tc>
          <w:tcPr>
            <w:tcW w:w="2835" w:type="dxa"/>
            <w:vAlign w:val="center"/>
          </w:tcPr>
          <w:p w14:paraId="22CC3224" w14:textId="77777777" w:rsidR="0073012B" w:rsidRPr="002F4BC3" w:rsidRDefault="0073012B" w:rsidP="00806F8A">
            <w:pPr>
              <w:spacing w:before="0"/>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color w:val="000000"/>
              </w:rPr>
            </w:pPr>
            <w:r w:rsidRPr="002F4BC3">
              <w:rPr>
                <w:rFonts w:ascii="Calibri" w:eastAsia="Calibri" w:hAnsi="Calibri" w:cs="Times New Roman"/>
                <w:color w:val="000000"/>
              </w:rPr>
              <w:t>Conduct a current and future skills gap analysis for the freight and logistics sector</w:t>
            </w:r>
          </w:p>
        </w:tc>
        <w:tc>
          <w:tcPr>
            <w:tcW w:w="1842" w:type="dxa"/>
            <w:vAlign w:val="center"/>
          </w:tcPr>
          <w:p w14:paraId="0EAC6373" w14:textId="77777777" w:rsidR="0073012B" w:rsidRPr="002F4BC3" w:rsidRDefault="0073012B" w:rsidP="00806F8A">
            <w:pPr>
              <w:spacing w:before="0"/>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color w:val="000000"/>
              </w:rPr>
            </w:pPr>
          </w:p>
        </w:tc>
        <w:tc>
          <w:tcPr>
            <w:tcW w:w="1843" w:type="dxa"/>
            <w:vAlign w:val="center"/>
          </w:tcPr>
          <w:p w14:paraId="066FFA7D" w14:textId="77777777" w:rsidR="0073012B" w:rsidRPr="002F4BC3" w:rsidRDefault="0073012B" w:rsidP="00806F8A">
            <w:pPr>
              <w:spacing w:before="0"/>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color w:val="000000"/>
              </w:rPr>
            </w:pPr>
            <w:r w:rsidRPr="002F4BC3">
              <w:rPr>
                <w:rFonts w:ascii="Calibri" w:eastAsia="Calibri" w:hAnsi="Calibri" w:cs="Times New Roman"/>
                <w:noProof/>
                <w:color w:val="000000"/>
              </w:rPr>
              <w:drawing>
                <wp:inline distT="0" distB="0" distL="0" distR="0" wp14:anchorId="271FB599" wp14:editId="068686ED">
                  <wp:extent cx="238125" cy="238125"/>
                  <wp:effectExtent l="0" t="0" r="9525" b="9525"/>
                  <wp:docPr id="21" name="Graphic 21" descr="Improved efficiency, productivity and international competitive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35" cstate="print">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238125" cy="238125"/>
                          </a:xfrm>
                          <a:prstGeom prst="rect">
                            <a:avLst/>
                          </a:prstGeom>
                        </pic:spPr>
                      </pic:pic>
                    </a:graphicData>
                  </a:graphic>
                </wp:inline>
              </w:drawing>
            </w:r>
          </w:p>
        </w:tc>
        <w:tc>
          <w:tcPr>
            <w:tcW w:w="1843" w:type="dxa"/>
            <w:vAlign w:val="center"/>
          </w:tcPr>
          <w:p w14:paraId="10E93A5F" w14:textId="77777777" w:rsidR="0073012B" w:rsidRPr="002F4BC3" w:rsidRDefault="0073012B" w:rsidP="00806F8A">
            <w:pPr>
              <w:spacing w:before="0"/>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color w:val="000000"/>
              </w:rPr>
            </w:pPr>
            <w:r w:rsidRPr="002F4BC3">
              <w:rPr>
                <w:rFonts w:ascii="Calibri" w:eastAsia="Calibri" w:hAnsi="Calibri" w:cs="Times New Roman"/>
                <w:noProof/>
                <w:color w:val="000000"/>
              </w:rPr>
              <w:drawing>
                <wp:inline distT="0" distB="0" distL="0" distR="0" wp14:anchorId="71F2EB7D" wp14:editId="0F411FDC">
                  <wp:extent cx="238125" cy="238125"/>
                  <wp:effectExtent l="0" t="0" r="9525" b="9525"/>
                  <wp:docPr id="22" name="Graphic 22" descr="Safe, secure and resilient supply cha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35" cstate="print">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238125" cy="238125"/>
                          </a:xfrm>
                          <a:prstGeom prst="rect">
                            <a:avLst/>
                          </a:prstGeom>
                        </pic:spPr>
                      </pic:pic>
                    </a:graphicData>
                  </a:graphic>
                </wp:inline>
              </w:drawing>
            </w:r>
          </w:p>
        </w:tc>
        <w:tc>
          <w:tcPr>
            <w:tcW w:w="1843" w:type="dxa"/>
            <w:vAlign w:val="center"/>
          </w:tcPr>
          <w:p w14:paraId="5E710163" w14:textId="77777777" w:rsidR="0073012B" w:rsidRPr="002F4BC3" w:rsidRDefault="0073012B" w:rsidP="00806F8A">
            <w:pPr>
              <w:spacing w:before="0"/>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color w:val="000000"/>
              </w:rPr>
            </w:pPr>
          </w:p>
        </w:tc>
        <w:tc>
          <w:tcPr>
            <w:tcW w:w="1843" w:type="dxa"/>
            <w:vAlign w:val="center"/>
          </w:tcPr>
          <w:p w14:paraId="304F199E" w14:textId="77777777" w:rsidR="0073012B" w:rsidRPr="002F4BC3" w:rsidRDefault="0073012B" w:rsidP="00806F8A">
            <w:pPr>
              <w:spacing w:before="0"/>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color w:val="000000"/>
              </w:rPr>
            </w:pPr>
            <w:r w:rsidRPr="002F4BC3">
              <w:rPr>
                <w:rFonts w:ascii="Calibri" w:eastAsia="Calibri" w:hAnsi="Calibri" w:cs="Times New Roman"/>
                <w:noProof/>
                <w:color w:val="000000"/>
              </w:rPr>
              <w:drawing>
                <wp:inline distT="0" distB="0" distL="0" distR="0" wp14:anchorId="507001BA" wp14:editId="73FF2F5C">
                  <wp:extent cx="238125" cy="238125"/>
                  <wp:effectExtent l="0" t="0" r="9525" b="9525"/>
                  <wp:docPr id="23" name="Graphic 23" descr="A skilled, portable and adaptable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35" cstate="print">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238125" cy="238125"/>
                          </a:xfrm>
                          <a:prstGeom prst="rect">
                            <a:avLst/>
                          </a:prstGeom>
                        </pic:spPr>
                      </pic:pic>
                    </a:graphicData>
                  </a:graphic>
                </wp:inline>
              </w:drawing>
            </w:r>
          </w:p>
        </w:tc>
        <w:tc>
          <w:tcPr>
            <w:tcW w:w="1843" w:type="dxa"/>
            <w:vAlign w:val="center"/>
          </w:tcPr>
          <w:p w14:paraId="65969664" w14:textId="77777777" w:rsidR="0073012B" w:rsidRPr="002F4BC3" w:rsidRDefault="0073012B" w:rsidP="00806F8A">
            <w:pPr>
              <w:spacing w:before="0"/>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color w:val="000000"/>
              </w:rPr>
            </w:pPr>
          </w:p>
        </w:tc>
      </w:tr>
      <w:tr w:rsidR="0073012B" w:rsidRPr="002F4BC3" w14:paraId="55F7D6EF" w14:textId="77777777" w:rsidTr="000272DA">
        <w:trPr>
          <w:cantSplit/>
        </w:trPr>
        <w:tc>
          <w:tcPr>
            <w:cnfStyle w:val="001000000000" w:firstRow="0" w:lastRow="0" w:firstColumn="1" w:lastColumn="0" w:oddVBand="0" w:evenVBand="0" w:oddHBand="0" w:evenHBand="0" w:firstRowFirstColumn="0" w:firstRowLastColumn="0" w:lastRowFirstColumn="0" w:lastRowLastColumn="0"/>
            <w:tcW w:w="1560" w:type="dxa"/>
            <w:vAlign w:val="center"/>
          </w:tcPr>
          <w:p w14:paraId="737CFE4B" w14:textId="77777777" w:rsidR="0073012B" w:rsidRPr="002F4BC3" w:rsidRDefault="0073012B" w:rsidP="00806F8A">
            <w:pPr>
              <w:spacing w:before="0"/>
              <w:jc w:val="center"/>
              <w:rPr>
                <w:rFonts w:ascii="Calibri" w:eastAsia="Calibri" w:hAnsi="Calibri" w:cs="Times New Roman"/>
                <w:color w:val="000000"/>
              </w:rPr>
            </w:pPr>
            <w:r w:rsidRPr="002F4BC3">
              <w:rPr>
                <w:rFonts w:ascii="Calibri" w:eastAsia="Calibri" w:hAnsi="Calibri" w:cs="Times New Roman"/>
                <w:noProof/>
                <w:color w:val="000000"/>
              </w:rPr>
              <w:lastRenderedPageBreak/>
              <w:drawing>
                <wp:inline distT="0" distB="0" distL="0" distR="0" wp14:anchorId="1FC8C0C1" wp14:editId="739767FA">
                  <wp:extent cx="215900" cy="215900"/>
                  <wp:effectExtent l="0" t="0" r="0" b="0"/>
                  <wp:docPr id="86" name="Graphic 86" descr="Decarboni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eaf.svg"/>
                          <pic:cNvPicPr/>
                        </pic:nvPicPr>
                        <pic:blipFill>
                          <a:blip r:embed="rId31" cstate="print">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215900" cy="215900"/>
                          </a:xfrm>
                          <a:prstGeom prst="rect">
                            <a:avLst/>
                          </a:prstGeom>
                        </pic:spPr>
                      </pic:pic>
                    </a:graphicData>
                  </a:graphic>
                </wp:inline>
              </w:drawing>
            </w:r>
          </w:p>
        </w:tc>
        <w:tc>
          <w:tcPr>
            <w:tcW w:w="2835" w:type="dxa"/>
            <w:vAlign w:val="center"/>
          </w:tcPr>
          <w:p w14:paraId="1D3480FA" w14:textId="77777777" w:rsidR="0073012B" w:rsidRPr="002F4BC3" w:rsidRDefault="0073012B" w:rsidP="00806F8A">
            <w:pPr>
              <w:spacing w:before="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rPr>
            </w:pPr>
            <w:r w:rsidRPr="002F4BC3">
              <w:rPr>
                <w:rFonts w:ascii="Calibri" w:eastAsia="Calibri" w:hAnsi="Calibri" w:cs="Times New Roman"/>
                <w:color w:val="000000"/>
              </w:rPr>
              <w:t>Develop government and industry frameworks to collaborate on the transition to net zero</w:t>
            </w:r>
          </w:p>
        </w:tc>
        <w:tc>
          <w:tcPr>
            <w:tcW w:w="1842" w:type="dxa"/>
            <w:vAlign w:val="center"/>
          </w:tcPr>
          <w:p w14:paraId="0244C8DF" w14:textId="77777777" w:rsidR="0073012B" w:rsidRPr="002F4BC3" w:rsidRDefault="0073012B" w:rsidP="00806F8A">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rPr>
            </w:pPr>
            <w:r w:rsidRPr="002F4BC3">
              <w:rPr>
                <w:rFonts w:ascii="Calibri" w:eastAsia="Calibri" w:hAnsi="Calibri" w:cs="Times New Roman"/>
                <w:noProof/>
                <w:color w:val="000000"/>
              </w:rPr>
              <w:drawing>
                <wp:inline distT="0" distB="0" distL="0" distR="0" wp14:anchorId="127CE70C" wp14:editId="5CB86956">
                  <wp:extent cx="238125" cy="238125"/>
                  <wp:effectExtent l="0" t="0" r="9525" b="9525"/>
                  <wp:docPr id="24" name="Graphic 24" descr="Decarbonising the freight and supply chain s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35" cstate="print">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238125" cy="238125"/>
                          </a:xfrm>
                          <a:prstGeom prst="rect">
                            <a:avLst/>
                          </a:prstGeom>
                        </pic:spPr>
                      </pic:pic>
                    </a:graphicData>
                  </a:graphic>
                </wp:inline>
              </w:drawing>
            </w:r>
          </w:p>
        </w:tc>
        <w:tc>
          <w:tcPr>
            <w:tcW w:w="1843" w:type="dxa"/>
            <w:vAlign w:val="center"/>
          </w:tcPr>
          <w:p w14:paraId="23DAC285" w14:textId="77777777" w:rsidR="0073012B" w:rsidRPr="002F4BC3" w:rsidRDefault="0073012B" w:rsidP="00806F8A">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rPr>
            </w:pPr>
          </w:p>
        </w:tc>
        <w:tc>
          <w:tcPr>
            <w:tcW w:w="1843" w:type="dxa"/>
            <w:vAlign w:val="center"/>
          </w:tcPr>
          <w:p w14:paraId="1A6521F1" w14:textId="77777777" w:rsidR="0073012B" w:rsidRPr="002F4BC3" w:rsidRDefault="0073012B" w:rsidP="00806F8A">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color w:val="000000"/>
              </w:rPr>
            </w:pPr>
          </w:p>
        </w:tc>
        <w:tc>
          <w:tcPr>
            <w:tcW w:w="1843" w:type="dxa"/>
            <w:vAlign w:val="center"/>
          </w:tcPr>
          <w:p w14:paraId="34D3D8D1" w14:textId="77777777" w:rsidR="0073012B" w:rsidRPr="002F4BC3" w:rsidRDefault="0073012B" w:rsidP="00806F8A">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color w:val="000000"/>
              </w:rPr>
            </w:pPr>
          </w:p>
        </w:tc>
        <w:tc>
          <w:tcPr>
            <w:tcW w:w="1843" w:type="dxa"/>
            <w:vAlign w:val="center"/>
          </w:tcPr>
          <w:p w14:paraId="3E31A198" w14:textId="77777777" w:rsidR="0073012B" w:rsidRPr="002F4BC3" w:rsidRDefault="0073012B" w:rsidP="00806F8A">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rPr>
            </w:pPr>
          </w:p>
        </w:tc>
        <w:tc>
          <w:tcPr>
            <w:tcW w:w="1843" w:type="dxa"/>
            <w:vAlign w:val="center"/>
          </w:tcPr>
          <w:p w14:paraId="11110BA1" w14:textId="77777777" w:rsidR="0073012B" w:rsidRPr="002F4BC3" w:rsidRDefault="0073012B" w:rsidP="00806F8A">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rPr>
            </w:pPr>
          </w:p>
        </w:tc>
      </w:tr>
      <w:tr w:rsidR="0073012B" w:rsidRPr="002F4BC3" w14:paraId="02C1547B" w14:textId="77777777" w:rsidTr="000272D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60" w:type="dxa"/>
            <w:vAlign w:val="center"/>
          </w:tcPr>
          <w:p w14:paraId="1FFD788D" w14:textId="77777777" w:rsidR="0073012B" w:rsidRPr="002F4BC3" w:rsidRDefault="0073012B" w:rsidP="00806F8A">
            <w:pPr>
              <w:spacing w:before="0"/>
              <w:jc w:val="center"/>
              <w:rPr>
                <w:rFonts w:ascii="Calibri" w:eastAsia="Calibri" w:hAnsi="Calibri" w:cs="Times New Roman"/>
                <w:color w:val="000000"/>
              </w:rPr>
            </w:pPr>
            <w:r w:rsidRPr="002F4BC3">
              <w:rPr>
                <w:rFonts w:ascii="Calibri" w:eastAsia="Calibri" w:hAnsi="Calibri" w:cs="Times New Roman"/>
                <w:noProof/>
                <w:color w:val="000000"/>
              </w:rPr>
              <w:drawing>
                <wp:inline distT="0" distB="0" distL="0" distR="0" wp14:anchorId="29ADE801" wp14:editId="0FAA2716">
                  <wp:extent cx="213360" cy="213360"/>
                  <wp:effectExtent l="0" t="0" r="0" b="0"/>
                  <wp:docPr id="77" name="Graphic 77" descr="Resil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arning.svg"/>
                          <pic:cNvPicPr/>
                        </pic:nvPicPr>
                        <pic:blipFill>
                          <a:blip r:embed="rId29" cstate="print">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213360" cy="213360"/>
                          </a:xfrm>
                          <a:prstGeom prst="rect">
                            <a:avLst/>
                          </a:prstGeom>
                        </pic:spPr>
                      </pic:pic>
                    </a:graphicData>
                  </a:graphic>
                </wp:inline>
              </w:drawing>
            </w:r>
            <w:r w:rsidRPr="002F4BC3">
              <w:rPr>
                <w:rFonts w:ascii="Calibri" w:eastAsia="Calibri" w:hAnsi="Calibri" w:cs="Times New Roman"/>
                <w:noProof/>
                <w:color w:val="000000"/>
              </w:rPr>
              <w:drawing>
                <wp:inline distT="0" distB="0" distL="0" distR="0" wp14:anchorId="0DAA3DBA" wp14:editId="570ECE07">
                  <wp:extent cx="215900" cy="215900"/>
                  <wp:effectExtent l="0" t="0" r="0" b="0"/>
                  <wp:docPr id="87" name="Graphic 87" descr="Decarboni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eaf.svg"/>
                          <pic:cNvPicPr/>
                        </pic:nvPicPr>
                        <pic:blipFill>
                          <a:blip r:embed="rId31" cstate="print">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215900" cy="215900"/>
                          </a:xfrm>
                          <a:prstGeom prst="rect">
                            <a:avLst/>
                          </a:prstGeom>
                        </pic:spPr>
                      </pic:pic>
                    </a:graphicData>
                  </a:graphic>
                </wp:inline>
              </w:drawing>
            </w:r>
          </w:p>
        </w:tc>
        <w:tc>
          <w:tcPr>
            <w:tcW w:w="2835" w:type="dxa"/>
            <w:vAlign w:val="center"/>
          </w:tcPr>
          <w:p w14:paraId="5A067803" w14:textId="77777777" w:rsidR="0073012B" w:rsidRPr="002F4BC3" w:rsidRDefault="0073012B" w:rsidP="00806F8A">
            <w:pPr>
              <w:spacing w:before="0"/>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color w:val="000000"/>
              </w:rPr>
            </w:pPr>
            <w:r w:rsidRPr="002F4BC3">
              <w:rPr>
                <w:rFonts w:ascii="Calibri" w:eastAsia="Calibri" w:hAnsi="Calibri" w:cs="Calibri"/>
                <w:color w:val="000000"/>
              </w:rPr>
              <w:t>Support development of a domestic low carbon liquid fuels industry</w:t>
            </w:r>
          </w:p>
        </w:tc>
        <w:tc>
          <w:tcPr>
            <w:tcW w:w="1842" w:type="dxa"/>
            <w:vAlign w:val="center"/>
          </w:tcPr>
          <w:p w14:paraId="4536ED2C" w14:textId="77777777" w:rsidR="0073012B" w:rsidRPr="002F4BC3" w:rsidRDefault="0073012B" w:rsidP="00806F8A">
            <w:pPr>
              <w:spacing w:before="0"/>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color w:val="000000"/>
              </w:rPr>
            </w:pPr>
            <w:r w:rsidRPr="002F4BC3">
              <w:rPr>
                <w:rFonts w:ascii="Calibri" w:eastAsia="Calibri" w:hAnsi="Calibri" w:cs="Times New Roman"/>
                <w:noProof/>
                <w:color w:val="000000"/>
              </w:rPr>
              <w:drawing>
                <wp:inline distT="0" distB="0" distL="0" distR="0" wp14:anchorId="6E02CAFE" wp14:editId="7C32540D">
                  <wp:extent cx="238125" cy="238125"/>
                  <wp:effectExtent l="0" t="0" r="9525" b="9525"/>
                  <wp:docPr id="25" name="Graphic 25" descr="Decarbonising the freight and supply chain s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35" cstate="print">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238125" cy="238125"/>
                          </a:xfrm>
                          <a:prstGeom prst="rect">
                            <a:avLst/>
                          </a:prstGeom>
                        </pic:spPr>
                      </pic:pic>
                    </a:graphicData>
                  </a:graphic>
                </wp:inline>
              </w:drawing>
            </w:r>
          </w:p>
        </w:tc>
        <w:tc>
          <w:tcPr>
            <w:tcW w:w="1843" w:type="dxa"/>
            <w:vAlign w:val="center"/>
          </w:tcPr>
          <w:p w14:paraId="673581E8" w14:textId="77777777" w:rsidR="0073012B" w:rsidRPr="002F4BC3" w:rsidRDefault="0073012B" w:rsidP="00806F8A">
            <w:pPr>
              <w:spacing w:before="0"/>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color w:val="000000"/>
              </w:rPr>
            </w:pPr>
          </w:p>
        </w:tc>
        <w:tc>
          <w:tcPr>
            <w:tcW w:w="1843" w:type="dxa"/>
            <w:vAlign w:val="center"/>
          </w:tcPr>
          <w:p w14:paraId="0AC581B8" w14:textId="77777777" w:rsidR="0073012B" w:rsidRPr="002F4BC3" w:rsidRDefault="0073012B" w:rsidP="00806F8A">
            <w:pPr>
              <w:spacing w:before="0"/>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color w:val="000000"/>
              </w:rPr>
            </w:pPr>
            <w:r w:rsidRPr="002F4BC3">
              <w:rPr>
                <w:rFonts w:ascii="Calibri" w:eastAsia="Calibri" w:hAnsi="Calibri" w:cs="Times New Roman"/>
                <w:noProof/>
                <w:color w:val="000000"/>
              </w:rPr>
              <w:drawing>
                <wp:inline distT="0" distB="0" distL="0" distR="0" wp14:anchorId="31CF7893" wp14:editId="7F5170FF">
                  <wp:extent cx="238125" cy="238125"/>
                  <wp:effectExtent l="0" t="0" r="9525" b="9525"/>
                  <wp:docPr id="26" name="Graphic 26" descr="Safe, secure and resilient supply cha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35" cstate="print">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238125" cy="238125"/>
                          </a:xfrm>
                          <a:prstGeom prst="rect">
                            <a:avLst/>
                          </a:prstGeom>
                        </pic:spPr>
                      </pic:pic>
                    </a:graphicData>
                  </a:graphic>
                </wp:inline>
              </w:drawing>
            </w:r>
          </w:p>
        </w:tc>
        <w:tc>
          <w:tcPr>
            <w:tcW w:w="1843" w:type="dxa"/>
            <w:vAlign w:val="center"/>
          </w:tcPr>
          <w:p w14:paraId="560E1A8D" w14:textId="77777777" w:rsidR="0073012B" w:rsidRPr="002F4BC3" w:rsidRDefault="0073012B" w:rsidP="00806F8A">
            <w:pPr>
              <w:spacing w:before="0"/>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color w:val="000000"/>
              </w:rPr>
            </w:pPr>
            <w:r w:rsidRPr="002F4BC3">
              <w:rPr>
                <w:rFonts w:ascii="Calibri" w:eastAsia="Calibri" w:hAnsi="Calibri" w:cs="Times New Roman"/>
                <w:noProof/>
                <w:color w:val="000000"/>
              </w:rPr>
              <w:drawing>
                <wp:inline distT="0" distB="0" distL="0" distR="0" wp14:anchorId="7268DF6B" wp14:editId="3C500495">
                  <wp:extent cx="238125" cy="238125"/>
                  <wp:effectExtent l="0" t="0" r="9525" b="9525"/>
                  <wp:docPr id="28" name="Graphic 28" descr="A fit for purpose regulatory enviro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35" cstate="print">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238125" cy="238125"/>
                          </a:xfrm>
                          <a:prstGeom prst="rect">
                            <a:avLst/>
                          </a:prstGeom>
                        </pic:spPr>
                      </pic:pic>
                    </a:graphicData>
                  </a:graphic>
                </wp:inline>
              </w:drawing>
            </w:r>
          </w:p>
        </w:tc>
        <w:tc>
          <w:tcPr>
            <w:tcW w:w="1843" w:type="dxa"/>
            <w:vAlign w:val="center"/>
          </w:tcPr>
          <w:p w14:paraId="761D8197" w14:textId="77777777" w:rsidR="0073012B" w:rsidRPr="002F4BC3" w:rsidRDefault="0073012B" w:rsidP="00806F8A">
            <w:pPr>
              <w:spacing w:before="0"/>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color w:val="000000"/>
              </w:rPr>
            </w:pPr>
            <w:r w:rsidRPr="002F4BC3">
              <w:rPr>
                <w:rFonts w:ascii="Calibri" w:eastAsia="Calibri" w:hAnsi="Calibri" w:cs="Times New Roman"/>
                <w:noProof/>
                <w:color w:val="000000"/>
              </w:rPr>
              <w:drawing>
                <wp:inline distT="0" distB="0" distL="0" distR="0" wp14:anchorId="64CC9394" wp14:editId="17469199">
                  <wp:extent cx="238125" cy="238125"/>
                  <wp:effectExtent l="0" t="0" r="9525" b="9525"/>
                  <wp:docPr id="29" name="Graphic 29" descr="A skilled, portable and adaptable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35" cstate="print">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238125" cy="238125"/>
                          </a:xfrm>
                          <a:prstGeom prst="rect">
                            <a:avLst/>
                          </a:prstGeom>
                        </pic:spPr>
                      </pic:pic>
                    </a:graphicData>
                  </a:graphic>
                </wp:inline>
              </w:drawing>
            </w:r>
          </w:p>
        </w:tc>
        <w:tc>
          <w:tcPr>
            <w:tcW w:w="1843" w:type="dxa"/>
            <w:vAlign w:val="center"/>
          </w:tcPr>
          <w:p w14:paraId="65016D0C" w14:textId="77777777" w:rsidR="0073012B" w:rsidRPr="002F4BC3" w:rsidRDefault="0073012B" w:rsidP="00806F8A">
            <w:pPr>
              <w:spacing w:before="0"/>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color w:val="000000"/>
              </w:rPr>
            </w:pPr>
          </w:p>
        </w:tc>
      </w:tr>
      <w:tr w:rsidR="0073012B" w:rsidRPr="002F4BC3" w14:paraId="16C6AE0A" w14:textId="77777777" w:rsidTr="000272DA">
        <w:trPr>
          <w:cantSplit/>
        </w:trPr>
        <w:tc>
          <w:tcPr>
            <w:cnfStyle w:val="001000000000" w:firstRow="0" w:lastRow="0" w:firstColumn="1" w:lastColumn="0" w:oddVBand="0" w:evenVBand="0" w:oddHBand="0" w:evenHBand="0" w:firstRowFirstColumn="0" w:firstRowLastColumn="0" w:lastRowFirstColumn="0" w:lastRowLastColumn="0"/>
            <w:tcW w:w="1560" w:type="dxa"/>
            <w:vAlign w:val="center"/>
          </w:tcPr>
          <w:p w14:paraId="4DD2B478" w14:textId="77777777" w:rsidR="0073012B" w:rsidRPr="002F4BC3" w:rsidRDefault="0073012B" w:rsidP="00806F8A">
            <w:pPr>
              <w:spacing w:before="0"/>
              <w:jc w:val="center"/>
              <w:rPr>
                <w:rFonts w:ascii="Calibri" w:eastAsia="Calibri" w:hAnsi="Calibri" w:cs="Times New Roman"/>
                <w:noProof/>
                <w:color w:val="000000"/>
              </w:rPr>
            </w:pPr>
            <w:r w:rsidRPr="002F4BC3">
              <w:rPr>
                <w:rFonts w:ascii="Calibri" w:eastAsia="Calibri" w:hAnsi="Calibri" w:cs="Times New Roman"/>
                <w:noProof/>
                <w:color w:val="000000"/>
              </w:rPr>
              <w:drawing>
                <wp:inline distT="0" distB="0" distL="0" distR="0" wp14:anchorId="094C6597" wp14:editId="52E1FE83">
                  <wp:extent cx="215900" cy="215900"/>
                  <wp:effectExtent l="0" t="0" r="0" b="0"/>
                  <wp:docPr id="65" name="Graphic 65" descr="Decarboni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eaf.svg"/>
                          <pic:cNvPicPr/>
                        </pic:nvPicPr>
                        <pic:blipFill>
                          <a:blip r:embed="rId31" cstate="print">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215900" cy="215900"/>
                          </a:xfrm>
                          <a:prstGeom prst="rect">
                            <a:avLst/>
                          </a:prstGeom>
                        </pic:spPr>
                      </pic:pic>
                    </a:graphicData>
                  </a:graphic>
                </wp:inline>
              </w:drawing>
            </w:r>
          </w:p>
        </w:tc>
        <w:tc>
          <w:tcPr>
            <w:tcW w:w="2835" w:type="dxa"/>
            <w:vAlign w:val="center"/>
          </w:tcPr>
          <w:p w14:paraId="27624BDF" w14:textId="77777777" w:rsidR="0073012B" w:rsidRPr="002F4BC3" w:rsidRDefault="0073012B" w:rsidP="00806F8A">
            <w:pPr>
              <w:spacing w:before="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sidRPr="002F4BC3">
              <w:rPr>
                <w:rFonts w:ascii="Calibri" w:eastAsia="Times New Roman" w:hAnsi="Calibri" w:cs="Times New Roman"/>
                <w:color w:val="000000"/>
              </w:rPr>
              <w:t>Conduct safety research on batteries and zero emission power technologies for freight vehicles and locomotives</w:t>
            </w:r>
          </w:p>
        </w:tc>
        <w:tc>
          <w:tcPr>
            <w:tcW w:w="1842" w:type="dxa"/>
            <w:vAlign w:val="center"/>
          </w:tcPr>
          <w:p w14:paraId="01056030" w14:textId="77777777" w:rsidR="0073012B" w:rsidRPr="002F4BC3" w:rsidRDefault="0073012B" w:rsidP="00806F8A">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rPr>
            </w:pPr>
            <w:r w:rsidRPr="002F4BC3">
              <w:rPr>
                <w:rFonts w:ascii="Calibri" w:eastAsia="Calibri" w:hAnsi="Calibri" w:cs="Times New Roman"/>
                <w:noProof/>
                <w:color w:val="000000"/>
              </w:rPr>
              <w:drawing>
                <wp:inline distT="0" distB="0" distL="0" distR="0" wp14:anchorId="42EDCB52" wp14:editId="379DD990">
                  <wp:extent cx="238125" cy="238125"/>
                  <wp:effectExtent l="0" t="0" r="9525" b="9525"/>
                  <wp:docPr id="31" name="Graphic 31" descr="Decarbonising the freight and supply chain s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35" cstate="print">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238125" cy="238125"/>
                          </a:xfrm>
                          <a:prstGeom prst="rect">
                            <a:avLst/>
                          </a:prstGeom>
                        </pic:spPr>
                      </pic:pic>
                    </a:graphicData>
                  </a:graphic>
                </wp:inline>
              </w:drawing>
            </w:r>
          </w:p>
        </w:tc>
        <w:tc>
          <w:tcPr>
            <w:tcW w:w="1843" w:type="dxa"/>
            <w:vAlign w:val="center"/>
          </w:tcPr>
          <w:p w14:paraId="4647D16D" w14:textId="77777777" w:rsidR="0073012B" w:rsidRPr="002F4BC3" w:rsidRDefault="0073012B" w:rsidP="00806F8A">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rPr>
            </w:pPr>
          </w:p>
        </w:tc>
        <w:tc>
          <w:tcPr>
            <w:tcW w:w="1843" w:type="dxa"/>
            <w:vAlign w:val="center"/>
          </w:tcPr>
          <w:p w14:paraId="4C3A2115" w14:textId="77777777" w:rsidR="0073012B" w:rsidRPr="002F4BC3" w:rsidRDefault="0073012B" w:rsidP="00806F8A">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rPr>
            </w:pPr>
            <w:r w:rsidRPr="002F4BC3">
              <w:rPr>
                <w:rFonts w:ascii="Calibri" w:eastAsia="Calibri" w:hAnsi="Calibri" w:cs="Times New Roman"/>
                <w:noProof/>
                <w:color w:val="000000"/>
              </w:rPr>
              <w:drawing>
                <wp:inline distT="0" distB="0" distL="0" distR="0" wp14:anchorId="3DB03BCF" wp14:editId="2CF34D84">
                  <wp:extent cx="238125" cy="238125"/>
                  <wp:effectExtent l="0" t="0" r="9525" b="9525"/>
                  <wp:docPr id="35" name="Graphic 35" descr="Safe, secure and resilient supply cha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35" cstate="print">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238125" cy="238125"/>
                          </a:xfrm>
                          <a:prstGeom prst="rect">
                            <a:avLst/>
                          </a:prstGeom>
                        </pic:spPr>
                      </pic:pic>
                    </a:graphicData>
                  </a:graphic>
                </wp:inline>
              </w:drawing>
            </w:r>
          </w:p>
        </w:tc>
        <w:tc>
          <w:tcPr>
            <w:tcW w:w="1843" w:type="dxa"/>
            <w:vAlign w:val="center"/>
          </w:tcPr>
          <w:p w14:paraId="6D1409CE" w14:textId="77777777" w:rsidR="0073012B" w:rsidRPr="002F4BC3" w:rsidRDefault="0073012B" w:rsidP="00806F8A">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rPr>
            </w:pPr>
            <w:r w:rsidRPr="002F4BC3">
              <w:rPr>
                <w:rFonts w:ascii="Calibri" w:eastAsia="Calibri" w:hAnsi="Calibri" w:cs="Times New Roman"/>
                <w:noProof/>
                <w:color w:val="000000"/>
              </w:rPr>
              <w:drawing>
                <wp:inline distT="0" distB="0" distL="0" distR="0" wp14:anchorId="0CF18837" wp14:editId="29034F7E">
                  <wp:extent cx="238125" cy="238125"/>
                  <wp:effectExtent l="0" t="0" r="9525" b="9525"/>
                  <wp:docPr id="36" name="Graphic 36" descr="A fit for purpose regulatory enviro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35" cstate="print">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238125" cy="238125"/>
                          </a:xfrm>
                          <a:prstGeom prst="rect">
                            <a:avLst/>
                          </a:prstGeom>
                        </pic:spPr>
                      </pic:pic>
                    </a:graphicData>
                  </a:graphic>
                </wp:inline>
              </w:drawing>
            </w:r>
          </w:p>
        </w:tc>
        <w:tc>
          <w:tcPr>
            <w:tcW w:w="1843" w:type="dxa"/>
            <w:vAlign w:val="center"/>
          </w:tcPr>
          <w:p w14:paraId="34C9023F" w14:textId="77777777" w:rsidR="0073012B" w:rsidRPr="002F4BC3" w:rsidRDefault="0073012B" w:rsidP="00806F8A">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rPr>
            </w:pPr>
          </w:p>
        </w:tc>
        <w:tc>
          <w:tcPr>
            <w:tcW w:w="1843" w:type="dxa"/>
            <w:vAlign w:val="center"/>
          </w:tcPr>
          <w:p w14:paraId="1E67FFA2" w14:textId="77777777" w:rsidR="0073012B" w:rsidRPr="002F4BC3" w:rsidRDefault="0073012B" w:rsidP="00806F8A">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rPr>
            </w:pPr>
          </w:p>
        </w:tc>
      </w:tr>
      <w:tr w:rsidR="0073012B" w:rsidRPr="002F4BC3" w14:paraId="3B9D3EFC" w14:textId="77777777" w:rsidTr="000272D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60" w:type="dxa"/>
            <w:vAlign w:val="center"/>
          </w:tcPr>
          <w:p w14:paraId="5F0F7459" w14:textId="77777777" w:rsidR="0073012B" w:rsidRPr="002F4BC3" w:rsidRDefault="0073012B" w:rsidP="00806F8A">
            <w:pPr>
              <w:spacing w:before="0"/>
              <w:jc w:val="center"/>
              <w:rPr>
                <w:rFonts w:ascii="Calibri" w:eastAsia="Calibri" w:hAnsi="Calibri" w:cs="Times New Roman"/>
                <w:color w:val="000000"/>
              </w:rPr>
            </w:pPr>
            <w:r w:rsidRPr="002F4BC3">
              <w:rPr>
                <w:rFonts w:ascii="Calibri" w:eastAsia="Calibri" w:hAnsi="Calibri" w:cs="Times New Roman"/>
                <w:noProof/>
                <w:color w:val="000000"/>
              </w:rPr>
              <w:drawing>
                <wp:inline distT="0" distB="0" distL="0" distR="0" wp14:anchorId="7F0D605F" wp14:editId="3F372747">
                  <wp:extent cx="222885" cy="222885"/>
                  <wp:effectExtent l="0" t="0" r="5715" b="5715"/>
                  <wp:docPr id="79" name="Graphic 79" descr="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tatistics_ltr.svg"/>
                          <pic:cNvPicPr/>
                        </pic:nvPicPr>
                        <pic:blipFill>
                          <a:blip r:embed="rId33" cstate="print">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a:xfrm>
                            <a:off x="0" y="0"/>
                            <a:ext cx="222885" cy="222885"/>
                          </a:xfrm>
                          <a:prstGeom prst="rect">
                            <a:avLst/>
                          </a:prstGeom>
                        </pic:spPr>
                      </pic:pic>
                    </a:graphicData>
                  </a:graphic>
                </wp:inline>
              </w:drawing>
            </w:r>
          </w:p>
        </w:tc>
        <w:tc>
          <w:tcPr>
            <w:tcW w:w="2835" w:type="dxa"/>
            <w:vAlign w:val="center"/>
          </w:tcPr>
          <w:p w14:paraId="6EEF5571" w14:textId="77777777" w:rsidR="0073012B" w:rsidRPr="002F4BC3" w:rsidRDefault="0073012B" w:rsidP="00806F8A">
            <w:pPr>
              <w:spacing w:before="0"/>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color w:val="000000"/>
              </w:rPr>
            </w:pPr>
            <w:r w:rsidRPr="002F4BC3">
              <w:rPr>
                <w:rFonts w:ascii="Calibri" w:eastAsia="Calibri" w:hAnsi="Calibri" w:cs="Times New Roman"/>
                <w:color w:val="000000"/>
              </w:rPr>
              <w:t>Develop a data development plan to support the National Freight Data Hub</w:t>
            </w:r>
          </w:p>
        </w:tc>
        <w:tc>
          <w:tcPr>
            <w:tcW w:w="1842" w:type="dxa"/>
            <w:vAlign w:val="center"/>
          </w:tcPr>
          <w:p w14:paraId="6EADCB75" w14:textId="77777777" w:rsidR="0073012B" w:rsidRPr="002F4BC3" w:rsidRDefault="0073012B" w:rsidP="00806F8A">
            <w:pPr>
              <w:spacing w:before="0"/>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color w:val="000000"/>
              </w:rPr>
            </w:pPr>
          </w:p>
        </w:tc>
        <w:tc>
          <w:tcPr>
            <w:tcW w:w="1843" w:type="dxa"/>
            <w:vAlign w:val="center"/>
          </w:tcPr>
          <w:p w14:paraId="1C6327A4" w14:textId="77777777" w:rsidR="0073012B" w:rsidRPr="002F4BC3" w:rsidRDefault="0073012B" w:rsidP="00806F8A">
            <w:pPr>
              <w:spacing w:before="0"/>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color w:val="000000"/>
              </w:rPr>
            </w:pPr>
            <w:r w:rsidRPr="002F4BC3">
              <w:rPr>
                <w:rFonts w:ascii="Calibri" w:eastAsia="Calibri" w:hAnsi="Calibri" w:cs="Times New Roman"/>
                <w:noProof/>
                <w:color w:val="000000"/>
              </w:rPr>
              <w:drawing>
                <wp:inline distT="0" distB="0" distL="0" distR="0" wp14:anchorId="41EAB7EB" wp14:editId="649E8624">
                  <wp:extent cx="238125" cy="238125"/>
                  <wp:effectExtent l="0" t="0" r="9525" b="9525"/>
                  <wp:docPr id="38" name="Graphic 38" descr="Improved efficiency, productivity and international competitive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35" cstate="print">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238125" cy="238125"/>
                          </a:xfrm>
                          <a:prstGeom prst="rect">
                            <a:avLst/>
                          </a:prstGeom>
                        </pic:spPr>
                      </pic:pic>
                    </a:graphicData>
                  </a:graphic>
                </wp:inline>
              </w:drawing>
            </w:r>
          </w:p>
        </w:tc>
        <w:tc>
          <w:tcPr>
            <w:tcW w:w="1843" w:type="dxa"/>
            <w:vAlign w:val="center"/>
          </w:tcPr>
          <w:p w14:paraId="22F473DB" w14:textId="77777777" w:rsidR="0073012B" w:rsidRPr="002F4BC3" w:rsidRDefault="0073012B" w:rsidP="00806F8A">
            <w:pPr>
              <w:spacing w:before="0"/>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color w:val="000000"/>
              </w:rPr>
            </w:pPr>
            <w:r w:rsidRPr="002F4BC3">
              <w:rPr>
                <w:rFonts w:ascii="Calibri" w:eastAsia="Calibri" w:hAnsi="Calibri" w:cs="Times New Roman"/>
                <w:noProof/>
                <w:color w:val="000000"/>
              </w:rPr>
              <w:drawing>
                <wp:inline distT="0" distB="0" distL="0" distR="0" wp14:anchorId="308CEFC4" wp14:editId="29D70021">
                  <wp:extent cx="238125" cy="238125"/>
                  <wp:effectExtent l="0" t="0" r="9525" b="9525"/>
                  <wp:docPr id="39" name="Graphic 39" descr="Safe, secure and resilient supply cha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35" cstate="print">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238125" cy="238125"/>
                          </a:xfrm>
                          <a:prstGeom prst="rect">
                            <a:avLst/>
                          </a:prstGeom>
                        </pic:spPr>
                      </pic:pic>
                    </a:graphicData>
                  </a:graphic>
                </wp:inline>
              </w:drawing>
            </w:r>
          </w:p>
        </w:tc>
        <w:tc>
          <w:tcPr>
            <w:tcW w:w="1843" w:type="dxa"/>
            <w:vAlign w:val="center"/>
          </w:tcPr>
          <w:p w14:paraId="170D51A8" w14:textId="77777777" w:rsidR="0073012B" w:rsidRPr="002F4BC3" w:rsidRDefault="0073012B" w:rsidP="00806F8A">
            <w:pPr>
              <w:spacing w:before="0"/>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color w:val="000000"/>
              </w:rPr>
            </w:pPr>
          </w:p>
        </w:tc>
        <w:tc>
          <w:tcPr>
            <w:tcW w:w="1843" w:type="dxa"/>
            <w:vAlign w:val="center"/>
          </w:tcPr>
          <w:p w14:paraId="75025D3D" w14:textId="77777777" w:rsidR="0073012B" w:rsidRPr="002F4BC3" w:rsidRDefault="0073012B" w:rsidP="00806F8A">
            <w:pPr>
              <w:spacing w:before="0"/>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color w:val="000000"/>
              </w:rPr>
            </w:pPr>
          </w:p>
        </w:tc>
        <w:tc>
          <w:tcPr>
            <w:tcW w:w="1843" w:type="dxa"/>
            <w:vAlign w:val="center"/>
          </w:tcPr>
          <w:p w14:paraId="76BFEABD" w14:textId="77777777" w:rsidR="0073012B" w:rsidRPr="002F4BC3" w:rsidRDefault="0073012B" w:rsidP="00806F8A">
            <w:pPr>
              <w:spacing w:before="0"/>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color w:val="000000"/>
              </w:rPr>
            </w:pPr>
            <w:r w:rsidRPr="002F4BC3">
              <w:rPr>
                <w:rFonts w:ascii="Calibri" w:eastAsia="Calibri" w:hAnsi="Calibri" w:cs="Times New Roman"/>
                <w:noProof/>
                <w:color w:val="000000"/>
              </w:rPr>
              <w:drawing>
                <wp:inline distT="0" distB="0" distL="0" distR="0" wp14:anchorId="382CC83B" wp14:editId="290A5BE6">
                  <wp:extent cx="238125" cy="238125"/>
                  <wp:effectExtent l="0" t="0" r="9525" b="9525"/>
                  <wp:docPr id="40" name="Graphic 40" descr="An informed understanding and acceptance of freight ope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35" cstate="print">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238125" cy="238125"/>
                          </a:xfrm>
                          <a:prstGeom prst="rect">
                            <a:avLst/>
                          </a:prstGeom>
                        </pic:spPr>
                      </pic:pic>
                    </a:graphicData>
                  </a:graphic>
                </wp:inline>
              </w:drawing>
            </w:r>
          </w:p>
        </w:tc>
      </w:tr>
      <w:tr w:rsidR="0073012B" w:rsidRPr="002F4BC3" w14:paraId="663AA790" w14:textId="77777777" w:rsidTr="000272DA">
        <w:trPr>
          <w:cantSplit/>
        </w:trPr>
        <w:tc>
          <w:tcPr>
            <w:cnfStyle w:val="001000000000" w:firstRow="0" w:lastRow="0" w:firstColumn="1" w:lastColumn="0" w:oddVBand="0" w:evenVBand="0" w:oddHBand="0" w:evenHBand="0" w:firstRowFirstColumn="0" w:firstRowLastColumn="0" w:lastRowFirstColumn="0" w:lastRowLastColumn="0"/>
            <w:tcW w:w="1560" w:type="dxa"/>
            <w:vAlign w:val="center"/>
          </w:tcPr>
          <w:p w14:paraId="1A8619CC" w14:textId="77777777" w:rsidR="0073012B" w:rsidRPr="002F4BC3" w:rsidRDefault="0073012B" w:rsidP="00806F8A">
            <w:pPr>
              <w:spacing w:before="0"/>
              <w:jc w:val="center"/>
              <w:rPr>
                <w:rFonts w:ascii="Calibri" w:eastAsia="Calibri" w:hAnsi="Calibri" w:cs="Times New Roman"/>
                <w:color w:val="000000"/>
              </w:rPr>
            </w:pPr>
            <w:r w:rsidRPr="002F4BC3">
              <w:rPr>
                <w:rFonts w:ascii="Calibri" w:eastAsia="Calibri" w:hAnsi="Calibri" w:cs="Times New Roman"/>
                <w:noProof/>
                <w:color w:val="000000"/>
              </w:rPr>
              <w:drawing>
                <wp:inline distT="0" distB="0" distL="0" distR="0" wp14:anchorId="0D743F94" wp14:editId="3FB7CD02">
                  <wp:extent cx="228600" cy="228600"/>
                  <wp:effectExtent l="0" t="0" r="0" b="0"/>
                  <wp:docPr id="78" name="Graphic 78" descr="Produ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inglegear.svg"/>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228600" cy="228600"/>
                          </a:xfrm>
                          <a:prstGeom prst="rect">
                            <a:avLst/>
                          </a:prstGeom>
                        </pic:spPr>
                      </pic:pic>
                    </a:graphicData>
                  </a:graphic>
                </wp:inline>
              </w:drawing>
            </w:r>
            <w:r w:rsidRPr="002F4BC3">
              <w:rPr>
                <w:rFonts w:ascii="Calibri" w:eastAsia="Calibri" w:hAnsi="Calibri" w:cs="Times New Roman"/>
                <w:noProof/>
                <w:color w:val="000000"/>
              </w:rPr>
              <w:drawing>
                <wp:inline distT="0" distB="0" distL="0" distR="0" wp14:anchorId="0940A111" wp14:editId="0F6FCCC4">
                  <wp:extent cx="222885" cy="222885"/>
                  <wp:effectExtent l="0" t="0" r="5715" b="5715"/>
                  <wp:docPr id="81" name="Graphic 81" descr="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tatistics_ltr.svg"/>
                          <pic:cNvPicPr/>
                        </pic:nvPicPr>
                        <pic:blipFill>
                          <a:blip r:embed="rId33" cstate="print">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a:xfrm>
                            <a:off x="0" y="0"/>
                            <a:ext cx="222885" cy="222885"/>
                          </a:xfrm>
                          <a:prstGeom prst="rect">
                            <a:avLst/>
                          </a:prstGeom>
                        </pic:spPr>
                      </pic:pic>
                    </a:graphicData>
                  </a:graphic>
                </wp:inline>
              </w:drawing>
            </w:r>
          </w:p>
        </w:tc>
        <w:tc>
          <w:tcPr>
            <w:tcW w:w="2835" w:type="dxa"/>
            <w:vAlign w:val="center"/>
          </w:tcPr>
          <w:p w14:paraId="25986F31" w14:textId="77777777" w:rsidR="0073012B" w:rsidRPr="002F4BC3" w:rsidRDefault="0073012B" w:rsidP="00806F8A">
            <w:pPr>
              <w:spacing w:before="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rPr>
            </w:pPr>
            <w:r w:rsidRPr="002F4BC3">
              <w:rPr>
                <w:rFonts w:ascii="Calibri" w:eastAsia="Calibri" w:hAnsi="Calibri" w:cs="Times New Roman"/>
                <w:color w:val="000000"/>
              </w:rPr>
              <w:t>Quantify the economic significance of the supply chain and freight logistics industry to Australia</w:t>
            </w:r>
          </w:p>
        </w:tc>
        <w:tc>
          <w:tcPr>
            <w:tcW w:w="1842" w:type="dxa"/>
            <w:vAlign w:val="center"/>
          </w:tcPr>
          <w:p w14:paraId="63EE7A99" w14:textId="77777777" w:rsidR="0073012B" w:rsidRPr="002F4BC3" w:rsidRDefault="0073012B" w:rsidP="00806F8A">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rPr>
            </w:pPr>
          </w:p>
        </w:tc>
        <w:tc>
          <w:tcPr>
            <w:tcW w:w="1843" w:type="dxa"/>
            <w:vAlign w:val="center"/>
          </w:tcPr>
          <w:p w14:paraId="4EE22A94" w14:textId="77777777" w:rsidR="0073012B" w:rsidRPr="002F4BC3" w:rsidRDefault="0073012B" w:rsidP="00806F8A">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rPr>
            </w:pPr>
            <w:r w:rsidRPr="002F4BC3">
              <w:rPr>
                <w:rFonts w:ascii="Calibri" w:eastAsia="Calibri" w:hAnsi="Calibri" w:cs="Times New Roman"/>
                <w:noProof/>
                <w:color w:val="000000"/>
              </w:rPr>
              <w:drawing>
                <wp:inline distT="0" distB="0" distL="0" distR="0" wp14:anchorId="4F0F2889" wp14:editId="1392E57E">
                  <wp:extent cx="238125" cy="238125"/>
                  <wp:effectExtent l="0" t="0" r="9525" b="9525"/>
                  <wp:docPr id="41" name="Graphic 41" descr="Improved efficiency, productivity and international competitive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35" cstate="print">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238125" cy="238125"/>
                          </a:xfrm>
                          <a:prstGeom prst="rect">
                            <a:avLst/>
                          </a:prstGeom>
                        </pic:spPr>
                      </pic:pic>
                    </a:graphicData>
                  </a:graphic>
                </wp:inline>
              </w:drawing>
            </w:r>
          </w:p>
        </w:tc>
        <w:tc>
          <w:tcPr>
            <w:tcW w:w="1843" w:type="dxa"/>
            <w:vAlign w:val="center"/>
          </w:tcPr>
          <w:p w14:paraId="5588584A" w14:textId="77777777" w:rsidR="0073012B" w:rsidRPr="002F4BC3" w:rsidRDefault="0073012B" w:rsidP="00806F8A">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rPr>
            </w:pPr>
          </w:p>
        </w:tc>
        <w:tc>
          <w:tcPr>
            <w:tcW w:w="1843" w:type="dxa"/>
            <w:vAlign w:val="center"/>
          </w:tcPr>
          <w:p w14:paraId="6AAFF7A1" w14:textId="77777777" w:rsidR="0073012B" w:rsidRPr="002F4BC3" w:rsidRDefault="0073012B" w:rsidP="00806F8A">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rPr>
            </w:pPr>
          </w:p>
        </w:tc>
        <w:tc>
          <w:tcPr>
            <w:tcW w:w="1843" w:type="dxa"/>
            <w:vAlign w:val="center"/>
          </w:tcPr>
          <w:p w14:paraId="7BBBD924" w14:textId="77777777" w:rsidR="0073012B" w:rsidRPr="002F4BC3" w:rsidRDefault="0073012B" w:rsidP="00806F8A">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rPr>
            </w:pPr>
          </w:p>
        </w:tc>
        <w:tc>
          <w:tcPr>
            <w:tcW w:w="1843" w:type="dxa"/>
            <w:vAlign w:val="center"/>
          </w:tcPr>
          <w:p w14:paraId="70862B5E" w14:textId="77777777" w:rsidR="0073012B" w:rsidRPr="002F4BC3" w:rsidRDefault="0073012B" w:rsidP="00806F8A">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rPr>
            </w:pPr>
            <w:r w:rsidRPr="002F4BC3">
              <w:rPr>
                <w:rFonts w:ascii="Calibri" w:eastAsia="Calibri" w:hAnsi="Calibri" w:cs="Times New Roman"/>
                <w:noProof/>
                <w:color w:val="000000"/>
              </w:rPr>
              <w:drawing>
                <wp:inline distT="0" distB="0" distL="0" distR="0" wp14:anchorId="057ABE76" wp14:editId="50E9645F">
                  <wp:extent cx="238125" cy="238125"/>
                  <wp:effectExtent l="0" t="0" r="9525" b="9525"/>
                  <wp:docPr id="42" name="Graphic 42" descr="An informed understanding and acceptance of freight ope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35" cstate="print">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238125" cy="238125"/>
                          </a:xfrm>
                          <a:prstGeom prst="rect">
                            <a:avLst/>
                          </a:prstGeom>
                        </pic:spPr>
                      </pic:pic>
                    </a:graphicData>
                  </a:graphic>
                </wp:inline>
              </w:drawing>
            </w:r>
          </w:p>
        </w:tc>
      </w:tr>
      <w:tr w:rsidR="00997A1B" w:rsidRPr="002F4BC3" w14:paraId="22A16EFE" w14:textId="77777777" w:rsidTr="000272DA">
        <w:trPr>
          <w:cnfStyle w:val="010000000000" w:firstRow="0" w:lastRow="1"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60" w:type="dxa"/>
            <w:shd w:val="clear" w:color="auto" w:fill="F2F2F2"/>
            <w:vAlign w:val="center"/>
          </w:tcPr>
          <w:p w14:paraId="733B273C" w14:textId="77777777" w:rsidR="0073012B" w:rsidRPr="002F4BC3" w:rsidRDefault="0073012B" w:rsidP="00806F8A">
            <w:pPr>
              <w:spacing w:before="0"/>
              <w:jc w:val="center"/>
              <w:rPr>
                <w:rFonts w:ascii="Calibri" w:eastAsia="Calibri" w:hAnsi="Calibri" w:cs="Times New Roman"/>
                <w:color w:val="000000"/>
              </w:rPr>
            </w:pPr>
            <w:r w:rsidRPr="002F4BC3">
              <w:rPr>
                <w:rFonts w:ascii="Calibri" w:eastAsia="Calibri" w:hAnsi="Calibri" w:cs="Times New Roman"/>
                <w:noProof/>
                <w:color w:val="000000"/>
              </w:rPr>
              <w:drawing>
                <wp:inline distT="0" distB="0" distL="0" distR="0" wp14:anchorId="24BC707F" wp14:editId="6C3485C3">
                  <wp:extent cx="222885" cy="222885"/>
                  <wp:effectExtent l="0" t="0" r="5715" b="5715"/>
                  <wp:docPr id="84" name="Graphic 84" descr="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tatistics_ltr.svg"/>
                          <pic:cNvPicPr/>
                        </pic:nvPicPr>
                        <pic:blipFill>
                          <a:blip r:embed="rId33" cstate="print">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a:xfrm>
                            <a:off x="0" y="0"/>
                            <a:ext cx="222885" cy="222885"/>
                          </a:xfrm>
                          <a:prstGeom prst="rect">
                            <a:avLst/>
                          </a:prstGeom>
                        </pic:spPr>
                      </pic:pic>
                    </a:graphicData>
                  </a:graphic>
                </wp:inline>
              </w:drawing>
            </w:r>
          </w:p>
        </w:tc>
        <w:tc>
          <w:tcPr>
            <w:tcW w:w="2835" w:type="dxa"/>
            <w:shd w:val="clear" w:color="auto" w:fill="F2F2F2"/>
            <w:vAlign w:val="center"/>
          </w:tcPr>
          <w:p w14:paraId="3F5D2687" w14:textId="77777777" w:rsidR="0073012B" w:rsidRPr="002F4BC3" w:rsidRDefault="0073012B" w:rsidP="00806F8A">
            <w:pPr>
              <w:spacing w:before="0"/>
              <w:cnfStyle w:val="010000000000" w:firstRow="0" w:lastRow="1" w:firstColumn="0" w:lastColumn="0" w:oddVBand="0" w:evenVBand="0" w:oddHBand="0" w:evenHBand="0" w:firstRowFirstColumn="0" w:firstRowLastColumn="0" w:lastRowFirstColumn="0" w:lastRowLastColumn="0"/>
              <w:rPr>
                <w:rFonts w:ascii="Calibri" w:eastAsia="Calibri" w:hAnsi="Calibri" w:cs="Times New Roman"/>
                <w:b w:val="0"/>
                <w:color w:val="000000"/>
              </w:rPr>
            </w:pPr>
            <w:r w:rsidRPr="002F4BC3">
              <w:rPr>
                <w:rFonts w:ascii="Calibri" w:eastAsia="Calibri" w:hAnsi="Calibri" w:cs="Times New Roman"/>
                <w:b w:val="0"/>
                <w:color w:val="000000"/>
              </w:rPr>
              <w:t>Develop additional key performance measures for future inclusion in the Strategy</w:t>
            </w:r>
          </w:p>
        </w:tc>
        <w:tc>
          <w:tcPr>
            <w:tcW w:w="1842" w:type="dxa"/>
            <w:shd w:val="clear" w:color="auto" w:fill="F2F2F2"/>
            <w:vAlign w:val="center"/>
          </w:tcPr>
          <w:p w14:paraId="739BDB16" w14:textId="77777777" w:rsidR="0073012B" w:rsidRPr="002F4BC3" w:rsidRDefault="0073012B" w:rsidP="00806F8A">
            <w:pPr>
              <w:spacing w:before="0"/>
              <w:jc w:val="center"/>
              <w:cnfStyle w:val="010000000000" w:firstRow="0" w:lastRow="1" w:firstColumn="0" w:lastColumn="0" w:oddVBand="0" w:evenVBand="0" w:oddHBand="0" w:evenHBand="0" w:firstRowFirstColumn="0" w:firstRowLastColumn="0" w:lastRowFirstColumn="0" w:lastRowLastColumn="0"/>
              <w:rPr>
                <w:rFonts w:ascii="Calibri" w:eastAsia="Calibri" w:hAnsi="Calibri" w:cs="Times New Roman"/>
                <w:color w:val="000000"/>
              </w:rPr>
            </w:pPr>
            <w:r w:rsidRPr="002F4BC3">
              <w:rPr>
                <w:rFonts w:ascii="Calibri" w:eastAsia="Calibri" w:hAnsi="Calibri" w:cs="Times New Roman"/>
                <w:noProof/>
                <w:color w:val="000000"/>
              </w:rPr>
              <w:drawing>
                <wp:inline distT="0" distB="0" distL="0" distR="0" wp14:anchorId="35FC6A93" wp14:editId="2F915010">
                  <wp:extent cx="238125" cy="238125"/>
                  <wp:effectExtent l="0" t="0" r="9525" b="9525"/>
                  <wp:docPr id="43" name="Graphic 43" descr="Decarbonising the freight and supply chain s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35" cstate="print">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238125" cy="238125"/>
                          </a:xfrm>
                          <a:prstGeom prst="rect">
                            <a:avLst/>
                          </a:prstGeom>
                        </pic:spPr>
                      </pic:pic>
                    </a:graphicData>
                  </a:graphic>
                </wp:inline>
              </w:drawing>
            </w:r>
          </w:p>
        </w:tc>
        <w:tc>
          <w:tcPr>
            <w:tcW w:w="1843" w:type="dxa"/>
            <w:shd w:val="clear" w:color="auto" w:fill="F2F2F2"/>
            <w:vAlign w:val="center"/>
          </w:tcPr>
          <w:p w14:paraId="3D30D739" w14:textId="77777777" w:rsidR="0073012B" w:rsidRPr="002F4BC3" w:rsidRDefault="0073012B" w:rsidP="00806F8A">
            <w:pPr>
              <w:spacing w:before="0"/>
              <w:jc w:val="center"/>
              <w:cnfStyle w:val="010000000000" w:firstRow="0" w:lastRow="1" w:firstColumn="0" w:lastColumn="0" w:oddVBand="0" w:evenVBand="0" w:oddHBand="0" w:evenHBand="0" w:firstRowFirstColumn="0" w:firstRowLastColumn="0" w:lastRowFirstColumn="0" w:lastRowLastColumn="0"/>
              <w:rPr>
                <w:rFonts w:ascii="Calibri" w:eastAsia="Calibri" w:hAnsi="Calibri" w:cs="Times New Roman"/>
                <w:color w:val="000000"/>
              </w:rPr>
            </w:pPr>
            <w:r w:rsidRPr="002F4BC3">
              <w:rPr>
                <w:rFonts w:ascii="Calibri" w:eastAsia="Calibri" w:hAnsi="Calibri" w:cs="Times New Roman"/>
                <w:noProof/>
                <w:color w:val="000000"/>
              </w:rPr>
              <w:drawing>
                <wp:inline distT="0" distB="0" distL="0" distR="0" wp14:anchorId="74B9344D" wp14:editId="00185A8C">
                  <wp:extent cx="238125" cy="238125"/>
                  <wp:effectExtent l="0" t="0" r="9525" b="9525"/>
                  <wp:docPr id="45" name="Graphic 45" descr="Improved efficiency, productivity and international competitive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35" cstate="print">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238125" cy="238125"/>
                          </a:xfrm>
                          <a:prstGeom prst="rect">
                            <a:avLst/>
                          </a:prstGeom>
                        </pic:spPr>
                      </pic:pic>
                    </a:graphicData>
                  </a:graphic>
                </wp:inline>
              </w:drawing>
            </w:r>
          </w:p>
        </w:tc>
        <w:tc>
          <w:tcPr>
            <w:tcW w:w="1843" w:type="dxa"/>
            <w:shd w:val="clear" w:color="auto" w:fill="F2F2F2"/>
            <w:vAlign w:val="center"/>
          </w:tcPr>
          <w:p w14:paraId="15BD85D8" w14:textId="77777777" w:rsidR="0073012B" w:rsidRPr="002F4BC3" w:rsidRDefault="0073012B" w:rsidP="00806F8A">
            <w:pPr>
              <w:spacing w:before="0"/>
              <w:jc w:val="center"/>
              <w:cnfStyle w:val="010000000000" w:firstRow="0" w:lastRow="1" w:firstColumn="0" w:lastColumn="0" w:oddVBand="0" w:evenVBand="0" w:oddHBand="0" w:evenHBand="0" w:firstRowFirstColumn="0" w:firstRowLastColumn="0" w:lastRowFirstColumn="0" w:lastRowLastColumn="0"/>
              <w:rPr>
                <w:rFonts w:ascii="Calibri" w:eastAsia="Calibri" w:hAnsi="Calibri" w:cs="Times New Roman"/>
                <w:color w:val="000000"/>
              </w:rPr>
            </w:pPr>
            <w:r w:rsidRPr="002F4BC3">
              <w:rPr>
                <w:rFonts w:ascii="Calibri" w:eastAsia="Calibri" w:hAnsi="Calibri" w:cs="Times New Roman"/>
                <w:noProof/>
                <w:color w:val="000000"/>
              </w:rPr>
              <w:drawing>
                <wp:inline distT="0" distB="0" distL="0" distR="0" wp14:anchorId="415667FA" wp14:editId="2ADFC7BA">
                  <wp:extent cx="238125" cy="238125"/>
                  <wp:effectExtent l="0" t="0" r="9525" b="9525"/>
                  <wp:docPr id="47" name="Graphic 47" descr="Safe, secure and resilient supply cha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35" cstate="print">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238125" cy="238125"/>
                          </a:xfrm>
                          <a:prstGeom prst="rect">
                            <a:avLst/>
                          </a:prstGeom>
                        </pic:spPr>
                      </pic:pic>
                    </a:graphicData>
                  </a:graphic>
                </wp:inline>
              </w:drawing>
            </w:r>
          </w:p>
        </w:tc>
        <w:tc>
          <w:tcPr>
            <w:tcW w:w="1843" w:type="dxa"/>
            <w:shd w:val="clear" w:color="auto" w:fill="F2F2F2"/>
            <w:vAlign w:val="center"/>
          </w:tcPr>
          <w:p w14:paraId="22C464AC" w14:textId="77777777" w:rsidR="0073012B" w:rsidRPr="002F4BC3" w:rsidRDefault="0073012B" w:rsidP="00806F8A">
            <w:pPr>
              <w:spacing w:before="0"/>
              <w:jc w:val="center"/>
              <w:cnfStyle w:val="010000000000" w:firstRow="0" w:lastRow="1" w:firstColumn="0" w:lastColumn="0" w:oddVBand="0" w:evenVBand="0" w:oddHBand="0" w:evenHBand="0" w:firstRowFirstColumn="0" w:firstRowLastColumn="0" w:lastRowFirstColumn="0" w:lastRowLastColumn="0"/>
              <w:rPr>
                <w:rFonts w:ascii="Calibri" w:eastAsia="Calibri" w:hAnsi="Calibri" w:cs="Times New Roman"/>
                <w:color w:val="000000"/>
              </w:rPr>
            </w:pPr>
            <w:r w:rsidRPr="002F4BC3">
              <w:rPr>
                <w:rFonts w:ascii="Calibri" w:eastAsia="Calibri" w:hAnsi="Calibri" w:cs="Times New Roman"/>
                <w:noProof/>
                <w:color w:val="000000"/>
              </w:rPr>
              <w:drawing>
                <wp:inline distT="0" distB="0" distL="0" distR="0" wp14:anchorId="65FDECE1" wp14:editId="59756A6C">
                  <wp:extent cx="238125" cy="238125"/>
                  <wp:effectExtent l="0" t="0" r="9525" b="9525"/>
                  <wp:docPr id="48" name="Graphic 48" descr="A fit for purpose regulatory enviro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35" cstate="print">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238125" cy="238125"/>
                          </a:xfrm>
                          <a:prstGeom prst="rect">
                            <a:avLst/>
                          </a:prstGeom>
                        </pic:spPr>
                      </pic:pic>
                    </a:graphicData>
                  </a:graphic>
                </wp:inline>
              </w:drawing>
            </w:r>
          </w:p>
        </w:tc>
        <w:tc>
          <w:tcPr>
            <w:tcW w:w="1843" w:type="dxa"/>
            <w:shd w:val="clear" w:color="auto" w:fill="F2F2F2"/>
            <w:vAlign w:val="center"/>
          </w:tcPr>
          <w:p w14:paraId="6356CC9C" w14:textId="77777777" w:rsidR="0073012B" w:rsidRPr="002F4BC3" w:rsidRDefault="0073012B" w:rsidP="00806F8A">
            <w:pPr>
              <w:spacing w:before="0"/>
              <w:jc w:val="center"/>
              <w:cnfStyle w:val="010000000000" w:firstRow="0" w:lastRow="1" w:firstColumn="0" w:lastColumn="0" w:oddVBand="0" w:evenVBand="0" w:oddHBand="0" w:evenHBand="0" w:firstRowFirstColumn="0" w:firstRowLastColumn="0" w:lastRowFirstColumn="0" w:lastRowLastColumn="0"/>
              <w:rPr>
                <w:rFonts w:ascii="Calibri" w:eastAsia="Calibri" w:hAnsi="Calibri" w:cs="Times New Roman"/>
                <w:color w:val="000000"/>
              </w:rPr>
            </w:pPr>
            <w:r w:rsidRPr="002F4BC3">
              <w:rPr>
                <w:rFonts w:ascii="Calibri" w:eastAsia="Calibri" w:hAnsi="Calibri" w:cs="Times New Roman"/>
                <w:noProof/>
                <w:color w:val="000000"/>
              </w:rPr>
              <w:drawing>
                <wp:inline distT="0" distB="0" distL="0" distR="0" wp14:anchorId="0880A6A7" wp14:editId="4A85F9FB">
                  <wp:extent cx="238125" cy="238125"/>
                  <wp:effectExtent l="0" t="0" r="9525" b="9525"/>
                  <wp:docPr id="49" name="Graphic 49" descr="A skilled, portable and adaptable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35" cstate="print">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238125" cy="238125"/>
                          </a:xfrm>
                          <a:prstGeom prst="rect">
                            <a:avLst/>
                          </a:prstGeom>
                        </pic:spPr>
                      </pic:pic>
                    </a:graphicData>
                  </a:graphic>
                </wp:inline>
              </w:drawing>
            </w:r>
          </w:p>
        </w:tc>
        <w:tc>
          <w:tcPr>
            <w:tcW w:w="1843" w:type="dxa"/>
            <w:shd w:val="clear" w:color="auto" w:fill="F2F2F2"/>
            <w:vAlign w:val="center"/>
          </w:tcPr>
          <w:p w14:paraId="13F46A5F" w14:textId="77777777" w:rsidR="0073012B" w:rsidRPr="002F4BC3" w:rsidRDefault="0073012B" w:rsidP="00806F8A">
            <w:pPr>
              <w:spacing w:before="0"/>
              <w:jc w:val="center"/>
              <w:cnfStyle w:val="010000000000" w:firstRow="0" w:lastRow="1" w:firstColumn="0" w:lastColumn="0" w:oddVBand="0" w:evenVBand="0" w:oddHBand="0" w:evenHBand="0" w:firstRowFirstColumn="0" w:firstRowLastColumn="0" w:lastRowFirstColumn="0" w:lastRowLastColumn="0"/>
              <w:rPr>
                <w:rFonts w:ascii="Calibri" w:eastAsia="Calibri" w:hAnsi="Calibri" w:cs="Times New Roman"/>
                <w:color w:val="000000"/>
              </w:rPr>
            </w:pPr>
            <w:r w:rsidRPr="002F4BC3">
              <w:rPr>
                <w:rFonts w:ascii="Calibri" w:eastAsia="Calibri" w:hAnsi="Calibri" w:cs="Times New Roman"/>
                <w:noProof/>
                <w:color w:val="000000"/>
              </w:rPr>
              <w:drawing>
                <wp:inline distT="0" distB="0" distL="0" distR="0" wp14:anchorId="10D3FD8F" wp14:editId="2FB31597">
                  <wp:extent cx="238125" cy="238125"/>
                  <wp:effectExtent l="0" t="0" r="9525" b="9525"/>
                  <wp:docPr id="50" name="Graphic 50" descr="An informed understanding and acceptance of freight ope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35" cstate="print">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238125" cy="238125"/>
                          </a:xfrm>
                          <a:prstGeom prst="rect">
                            <a:avLst/>
                          </a:prstGeom>
                        </pic:spPr>
                      </pic:pic>
                    </a:graphicData>
                  </a:graphic>
                </wp:inline>
              </w:drawing>
            </w:r>
          </w:p>
        </w:tc>
      </w:tr>
    </w:tbl>
    <w:p w14:paraId="2A87BB76" w14:textId="77777777" w:rsidR="00806F8A" w:rsidRDefault="00806F8A" w:rsidP="00806F8A">
      <w:pPr>
        <w:spacing w:before="0" w:after="0"/>
        <w:rPr>
          <w:rStyle w:val="Heading3Char"/>
          <w:color w:val="49515C" w:themeColor="accent4" w:themeShade="80"/>
          <w:sz w:val="28"/>
        </w:rPr>
        <w:sectPr w:rsidR="00806F8A" w:rsidSect="000272DA">
          <w:type w:val="continuous"/>
          <w:pgSz w:w="16838" w:h="11906" w:orient="landscape" w:code="9"/>
          <w:pgMar w:top="1021" w:right="1021" w:bottom="1021" w:left="1021" w:header="340" w:footer="397" w:gutter="0"/>
          <w:cols w:space="708"/>
          <w:docGrid w:linePitch="360"/>
        </w:sectPr>
      </w:pPr>
    </w:p>
    <w:p w14:paraId="541358FF" w14:textId="466E6515" w:rsidR="00806F8A" w:rsidRDefault="00806F8A" w:rsidP="00E83787">
      <w:pPr>
        <w:suppressAutoHyphens w:val="0"/>
        <w:rPr>
          <w:color w:val="49515C"/>
          <w:sz w:val="30"/>
          <w:szCs w:val="30"/>
        </w:rPr>
        <w:sectPr w:rsidR="00806F8A" w:rsidSect="00806F8A">
          <w:type w:val="continuous"/>
          <w:pgSz w:w="16838" w:h="11906" w:orient="landscape" w:code="9"/>
          <w:pgMar w:top="1021" w:right="1021" w:bottom="1021" w:left="1021" w:header="340" w:footer="397" w:gutter="0"/>
          <w:cols w:num="4" w:space="709"/>
          <w:docGrid w:linePitch="360"/>
        </w:sectPr>
      </w:pPr>
    </w:p>
    <w:p w14:paraId="054A1657" w14:textId="77777777" w:rsidR="004841B4" w:rsidRDefault="004841B4" w:rsidP="004841B4">
      <w:pPr>
        <w:pStyle w:val="Heading1"/>
      </w:pPr>
      <w:bookmarkStart w:id="7" w:name="_Toc174346840"/>
      <w:bookmarkStart w:id="8" w:name="_Toc187333615"/>
      <w:bookmarkStart w:id="9" w:name="_Hlk159929407"/>
      <w:bookmarkStart w:id="10" w:name="_Hlk159929398"/>
      <w:r w:rsidRPr="004841B4">
        <w:lastRenderedPageBreak/>
        <w:t>1.</w:t>
      </w:r>
      <w:r>
        <w:t xml:space="preserve"> </w:t>
      </w:r>
      <w:r w:rsidRPr="004841B4">
        <w:t>Productivity</w:t>
      </w:r>
      <w:bookmarkEnd w:id="7"/>
      <w:bookmarkEnd w:id="8"/>
    </w:p>
    <w:p w14:paraId="0647CA12" w14:textId="77777777" w:rsidR="004841B4" w:rsidRDefault="004841B4" w:rsidP="004841B4">
      <w:r>
        <w:t>Productivity in the transport, postal and warehousing sector has experienced either limited growth or a decline in most years since 2003-2004.</w:t>
      </w:r>
      <w:r>
        <w:rPr>
          <w:rStyle w:val="FootnoteReference"/>
        </w:rPr>
        <w:footnoteReference w:id="2"/>
      </w:r>
      <w:r>
        <w:t xml:space="preserve"> Freight productivity influences Australia’s </w:t>
      </w:r>
      <w:bookmarkStart w:id="11" w:name="_Hlk178940662"/>
      <w:r>
        <w:t>competitiveness in global markets, the viability of businesses, and the cost of goods to end consumers</w:t>
      </w:r>
      <w:bookmarkEnd w:id="11"/>
      <w:r>
        <w:t xml:space="preserve">. </w:t>
      </w:r>
    </w:p>
    <w:p w14:paraId="41A9F390" w14:textId="77777777" w:rsidR="004841B4" w:rsidRPr="00945927" w:rsidRDefault="004841B4" w:rsidP="004841B4">
      <w:r>
        <w:t xml:space="preserve">Improving the productivity of freight and supply chains is challenging. Any measures to improve productivity need to consider how safety is impacted. Productivity cannot come at the cost of the safety of the workforce. To improve freight productivity, Australia needs a much better understanding of freight performance at a whole-of-network level. This understanding can form a foundation for further work to model a future network that can set benchmarks for freight performance and network resilience. To reach these benchmarks and support productivity growth of the freight sector, urban planners also need to understand the requirements and characteristics of the freight sector. </w:t>
      </w:r>
    </w:p>
    <w:p w14:paraId="2FF1BFA5" w14:textId="17E85351" w:rsidR="004841B4" w:rsidRPr="00663D4B" w:rsidRDefault="004841B4" w:rsidP="004841B4">
      <w:pPr>
        <w:pStyle w:val="Heading2"/>
        <w:rPr>
          <w:b/>
        </w:rPr>
      </w:pPr>
      <w:r w:rsidRPr="00663D4B">
        <w:rPr>
          <w:b/>
        </w:rPr>
        <w:t xml:space="preserve">Action 1.1: </w:t>
      </w:r>
      <w:r w:rsidR="00894D0F">
        <w:t>Define and mo</w:t>
      </w:r>
      <w:r w:rsidRPr="00663D4B">
        <w:t>del the current freight and supply chain network</w:t>
      </w:r>
    </w:p>
    <w:p w14:paraId="6851D8BB" w14:textId="6A36D98C" w:rsidR="004841B4" w:rsidRDefault="004841B4" w:rsidP="004841B4">
      <w:pPr>
        <w:spacing w:before="80"/>
        <w:rPr>
          <w:rFonts w:cstheme="minorHAnsi"/>
        </w:rPr>
      </w:pPr>
      <w:r w:rsidRPr="00FB2EEA">
        <w:rPr>
          <w:rFonts w:cstheme="minorHAnsi"/>
          <w:b/>
        </w:rPr>
        <w:t>What we will do:</w:t>
      </w:r>
      <w:r w:rsidRPr="00FB2EEA">
        <w:rPr>
          <w:rFonts w:cstheme="minorHAnsi"/>
        </w:rPr>
        <w:t xml:space="preserve"> </w:t>
      </w:r>
      <w:r w:rsidR="00894D0F">
        <w:rPr>
          <w:rFonts w:cstheme="minorHAnsi"/>
        </w:rPr>
        <w:t>Define and m</w:t>
      </w:r>
      <w:r w:rsidRPr="00FB2EEA">
        <w:rPr>
          <w:rFonts w:cstheme="minorHAnsi"/>
        </w:rPr>
        <w:t>odel the current freight network</w:t>
      </w:r>
      <w:r>
        <w:rPr>
          <w:rFonts w:cstheme="minorHAnsi"/>
        </w:rPr>
        <w:t>, considering key data such as network capacity, bottlenecks, and modal share along key routes.</w:t>
      </w:r>
      <w:r w:rsidRPr="008E4BBE">
        <w:rPr>
          <w:rFonts w:cstheme="minorHAnsi"/>
        </w:rPr>
        <w:t xml:space="preserve"> </w:t>
      </w:r>
      <w:r>
        <w:rPr>
          <w:rFonts w:cstheme="minorHAnsi"/>
        </w:rPr>
        <w:t>Modelling will utilise the CSIRO’s Transport Network Strategic Investment Tool (</w:t>
      </w:r>
      <w:proofErr w:type="spellStart"/>
      <w:r>
        <w:rPr>
          <w:rFonts w:cstheme="minorHAnsi"/>
        </w:rPr>
        <w:t>TraNSIT</w:t>
      </w:r>
      <w:proofErr w:type="spellEnd"/>
      <w:r>
        <w:rPr>
          <w:rFonts w:cstheme="minorHAnsi"/>
        </w:rPr>
        <w:t>) and also</w:t>
      </w:r>
      <w:r w:rsidRPr="00FB2EEA">
        <w:rPr>
          <w:rFonts w:cstheme="minorHAnsi"/>
        </w:rPr>
        <w:t xml:space="preserve"> </w:t>
      </w:r>
      <w:r>
        <w:rPr>
          <w:rFonts w:cstheme="minorHAnsi"/>
        </w:rPr>
        <w:t>consider the role of the Key Freight Routes Map and the National Transport Network, to build an evidence base to support decision making.</w:t>
      </w:r>
    </w:p>
    <w:p w14:paraId="11F47916" w14:textId="489B30D6" w:rsidR="008B5910" w:rsidRDefault="004841B4" w:rsidP="004841B4">
      <w:pPr>
        <w:rPr>
          <w:rFonts w:cstheme="minorHAnsi"/>
        </w:rPr>
      </w:pPr>
      <w:r w:rsidRPr="00FB2EEA">
        <w:rPr>
          <w:rFonts w:cstheme="minorHAnsi"/>
          <w:b/>
        </w:rPr>
        <w:t>Why:</w:t>
      </w:r>
      <w:r>
        <w:rPr>
          <w:rFonts w:cstheme="minorHAnsi"/>
        </w:rPr>
        <w:t xml:space="preserve"> While there is a good understanding of some parts of the supply chain and transport network, it is </w:t>
      </w:r>
      <w:r w:rsidRPr="00FB2EEA">
        <w:rPr>
          <w:rFonts w:cstheme="minorHAnsi"/>
        </w:rPr>
        <w:t>not well understood at a whole-of-system level</w:t>
      </w:r>
      <w:r>
        <w:rPr>
          <w:rFonts w:cstheme="minorHAnsi"/>
        </w:rPr>
        <w:t xml:space="preserve"> across Australia</w:t>
      </w:r>
      <w:r w:rsidRPr="00FB2EEA">
        <w:rPr>
          <w:rFonts w:cstheme="minorHAnsi"/>
        </w:rPr>
        <w:t xml:space="preserve">. </w:t>
      </w:r>
      <w:r>
        <w:rPr>
          <w:rFonts w:cstheme="minorHAnsi"/>
        </w:rPr>
        <w:t xml:space="preserve">A better understanding of the complete picture will help governments make more impactful co-investment decisions. </w:t>
      </w:r>
    </w:p>
    <w:p w14:paraId="79DBC969" w14:textId="5C0C3717" w:rsidR="00FD1D56" w:rsidRDefault="00FD1D56" w:rsidP="00FD1D56">
      <w:pPr>
        <w:rPr>
          <w:rFonts w:cstheme="minorHAnsi"/>
        </w:rPr>
      </w:pPr>
      <w:r w:rsidRPr="006C6861">
        <w:rPr>
          <w:rFonts w:cstheme="minorHAnsi"/>
          <w:b/>
        </w:rPr>
        <w:t>Lead:</w:t>
      </w:r>
      <w:r>
        <w:rPr>
          <w:rFonts w:cstheme="minorHAnsi"/>
        </w:rPr>
        <w:t xml:space="preserve"> </w:t>
      </w:r>
      <w:r w:rsidR="00C6043B">
        <w:rPr>
          <w:rFonts w:cstheme="minorHAnsi"/>
        </w:rPr>
        <w:t>Commonwealth</w:t>
      </w:r>
    </w:p>
    <w:p w14:paraId="7FCABB6D" w14:textId="300A780D" w:rsidR="00FD1D56" w:rsidRDefault="00FD1D56" w:rsidP="00FD1D56">
      <w:pPr>
        <w:rPr>
          <w:rFonts w:cstheme="minorHAnsi"/>
        </w:rPr>
      </w:pPr>
      <w:r w:rsidRPr="006C6861">
        <w:rPr>
          <w:rFonts w:cstheme="minorHAnsi"/>
          <w:b/>
        </w:rPr>
        <w:t>Key Collaborators:</w:t>
      </w:r>
      <w:r>
        <w:rPr>
          <w:rFonts w:cstheme="minorHAnsi"/>
        </w:rPr>
        <w:t xml:space="preserve"> </w:t>
      </w:r>
      <w:r w:rsidR="00C6043B">
        <w:rPr>
          <w:rFonts w:cstheme="minorHAnsi"/>
        </w:rPr>
        <w:t>N</w:t>
      </w:r>
      <w:r w:rsidR="006C6861">
        <w:rPr>
          <w:rFonts w:cstheme="minorHAnsi"/>
        </w:rPr>
        <w:t xml:space="preserve">ew </w:t>
      </w:r>
      <w:r w:rsidR="00C6043B">
        <w:rPr>
          <w:rFonts w:cstheme="minorHAnsi"/>
        </w:rPr>
        <w:t>S</w:t>
      </w:r>
      <w:r w:rsidR="006C6861">
        <w:rPr>
          <w:rFonts w:cstheme="minorHAnsi"/>
        </w:rPr>
        <w:t xml:space="preserve">outh </w:t>
      </w:r>
      <w:r w:rsidR="00C6043B">
        <w:rPr>
          <w:rFonts w:cstheme="minorHAnsi"/>
        </w:rPr>
        <w:t>W</w:t>
      </w:r>
      <w:r w:rsidR="006C6861">
        <w:rPr>
          <w:rFonts w:cstheme="minorHAnsi"/>
        </w:rPr>
        <w:t>ales</w:t>
      </w:r>
      <w:r w:rsidR="00C6043B">
        <w:rPr>
          <w:rFonts w:cstheme="minorHAnsi"/>
        </w:rPr>
        <w:t>, S</w:t>
      </w:r>
      <w:r w:rsidR="006C6861">
        <w:rPr>
          <w:rFonts w:cstheme="minorHAnsi"/>
        </w:rPr>
        <w:t xml:space="preserve">outh </w:t>
      </w:r>
      <w:r w:rsidR="00C6043B">
        <w:rPr>
          <w:rFonts w:cstheme="minorHAnsi"/>
        </w:rPr>
        <w:t>A</w:t>
      </w:r>
      <w:r w:rsidR="006C6861">
        <w:rPr>
          <w:rFonts w:cstheme="minorHAnsi"/>
        </w:rPr>
        <w:t>ustralia</w:t>
      </w:r>
      <w:r w:rsidR="00C6043B">
        <w:rPr>
          <w:rFonts w:cstheme="minorHAnsi"/>
        </w:rPr>
        <w:t>, W</w:t>
      </w:r>
      <w:r w:rsidR="006C6861">
        <w:rPr>
          <w:rFonts w:cstheme="minorHAnsi"/>
        </w:rPr>
        <w:t>estern Australia</w:t>
      </w:r>
      <w:r w:rsidR="00C6043B">
        <w:rPr>
          <w:rFonts w:cstheme="minorHAnsi"/>
        </w:rPr>
        <w:t>, Vic</w:t>
      </w:r>
      <w:r w:rsidR="006C6861">
        <w:rPr>
          <w:rFonts w:cstheme="minorHAnsi"/>
        </w:rPr>
        <w:t>toria</w:t>
      </w:r>
    </w:p>
    <w:p w14:paraId="1F852F39" w14:textId="25054AF0" w:rsidR="00FD1D56" w:rsidRDefault="00FD1D56" w:rsidP="00FD1D56">
      <w:pPr>
        <w:rPr>
          <w:rFonts w:cstheme="minorHAnsi"/>
        </w:rPr>
      </w:pPr>
      <w:r w:rsidRPr="006C6861">
        <w:rPr>
          <w:rFonts w:cstheme="minorHAnsi"/>
          <w:b/>
        </w:rPr>
        <w:t>Timeframe:</w:t>
      </w:r>
      <w:r w:rsidR="006C6861">
        <w:rPr>
          <w:rFonts w:cstheme="minorHAnsi"/>
        </w:rPr>
        <w:t xml:space="preserve"> </w:t>
      </w:r>
      <w:r w:rsidR="00C6043B">
        <w:rPr>
          <w:rFonts w:cstheme="minorHAnsi"/>
        </w:rPr>
        <w:t xml:space="preserve">2025 to </w:t>
      </w:r>
      <w:r w:rsidR="006C6861">
        <w:rPr>
          <w:rFonts w:cstheme="minorHAnsi"/>
        </w:rPr>
        <w:t>2026</w:t>
      </w:r>
    </w:p>
    <w:p w14:paraId="04E1AC33" w14:textId="77777777" w:rsidR="004841B4" w:rsidRPr="00663D4B" w:rsidRDefault="004841B4" w:rsidP="004841B4">
      <w:pPr>
        <w:pStyle w:val="Heading2"/>
      </w:pPr>
      <w:r w:rsidRPr="00663D4B">
        <w:rPr>
          <w:b/>
        </w:rPr>
        <w:t xml:space="preserve">Action 1.2: </w:t>
      </w:r>
      <w:r w:rsidRPr="00663D4B">
        <w:t>Model the ideal future freight network in 2040</w:t>
      </w:r>
    </w:p>
    <w:p w14:paraId="6097E503" w14:textId="77777777" w:rsidR="004841B4" w:rsidRPr="00FB2EEA" w:rsidRDefault="004841B4" w:rsidP="004841B4">
      <w:pPr>
        <w:spacing w:before="80"/>
        <w:rPr>
          <w:rFonts w:cstheme="minorHAnsi"/>
        </w:rPr>
      </w:pPr>
      <w:r w:rsidRPr="00FB2EEA">
        <w:rPr>
          <w:rFonts w:cstheme="minorHAnsi"/>
          <w:b/>
        </w:rPr>
        <w:t>What we will do:</w:t>
      </w:r>
      <w:r w:rsidRPr="00FB2EEA">
        <w:rPr>
          <w:rFonts w:cstheme="minorHAnsi"/>
        </w:rPr>
        <w:t xml:space="preserve"> </w:t>
      </w:r>
      <w:r>
        <w:rPr>
          <w:rFonts w:cstheme="minorHAnsi"/>
        </w:rPr>
        <w:t>Expand the model produced under Action 1.1 to model the ideal future freight network in 2040.</w:t>
      </w:r>
      <w:r w:rsidRPr="008E4BBE">
        <w:t xml:space="preserve"> </w:t>
      </w:r>
      <w:r>
        <w:t>The model will consider w</w:t>
      </w:r>
      <w:r w:rsidRPr="00E93F7D">
        <w:t>hat</w:t>
      </w:r>
      <w:r>
        <w:t xml:space="preserve"> is needed to support decarbonisation, such as energy needs, fuel types, depot/refuelling locations, and infrastructure requirements; p</w:t>
      </w:r>
      <w:r w:rsidRPr="00E93F7D">
        <w:t>otential sites for</w:t>
      </w:r>
      <w:r>
        <w:t xml:space="preserve"> freight</w:t>
      </w:r>
      <w:r w:rsidRPr="00E93F7D">
        <w:t xml:space="preserve"> precincts and </w:t>
      </w:r>
      <w:r w:rsidRPr="00180B2A">
        <w:t xml:space="preserve">intermodals; </w:t>
      </w:r>
      <w:r w:rsidRPr="004F6025">
        <w:t>safety</w:t>
      </w:r>
      <w:r>
        <w:t xml:space="preserve"> requirements on key routes; and what is needed to meet Australia’s import/export demands to ensure supply chains support the prosperity of Australian communities.</w:t>
      </w:r>
    </w:p>
    <w:p w14:paraId="6A992080" w14:textId="7D36185B" w:rsidR="00AE6C16" w:rsidRDefault="004841B4" w:rsidP="004841B4">
      <w:r w:rsidRPr="00FB2EEA">
        <w:rPr>
          <w:rFonts w:cstheme="minorHAnsi"/>
          <w:b/>
        </w:rPr>
        <w:t>Why:</w:t>
      </w:r>
      <w:r w:rsidRPr="00FB2EEA">
        <w:rPr>
          <w:rFonts w:cstheme="minorHAnsi"/>
        </w:rPr>
        <w:t xml:space="preserve"> </w:t>
      </w:r>
      <w:r>
        <w:rPr>
          <w:rFonts w:cstheme="minorHAnsi"/>
        </w:rPr>
        <w:t>Consideration needs to be given to w</w:t>
      </w:r>
      <w:r>
        <w:t xml:space="preserve">hat the freight network needs to look like in 2040 to support Australia’s prosperity and what is needed to get there. </w:t>
      </w:r>
    </w:p>
    <w:p w14:paraId="578E280E" w14:textId="54C1F85F" w:rsidR="00FD1D56" w:rsidRDefault="00FD1D56" w:rsidP="00FD1D56">
      <w:pPr>
        <w:rPr>
          <w:rFonts w:cstheme="minorHAnsi"/>
        </w:rPr>
      </w:pPr>
      <w:r w:rsidRPr="006C6861">
        <w:rPr>
          <w:rFonts w:cstheme="minorHAnsi"/>
          <w:b/>
        </w:rPr>
        <w:t>Lead:</w:t>
      </w:r>
      <w:r w:rsidR="006C6861">
        <w:rPr>
          <w:rFonts w:cstheme="minorHAnsi"/>
        </w:rPr>
        <w:t xml:space="preserve"> Commonwealth</w:t>
      </w:r>
    </w:p>
    <w:p w14:paraId="03A397A0" w14:textId="3D0116D0" w:rsidR="00FD1D56" w:rsidRDefault="00FD1D56" w:rsidP="00FD1D56">
      <w:pPr>
        <w:rPr>
          <w:rFonts w:cstheme="minorHAnsi"/>
        </w:rPr>
      </w:pPr>
      <w:r w:rsidRPr="006C6861">
        <w:rPr>
          <w:rFonts w:cstheme="minorHAnsi"/>
          <w:b/>
        </w:rPr>
        <w:t>Key Collaborators:</w:t>
      </w:r>
      <w:r w:rsidR="006C6861">
        <w:rPr>
          <w:rFonts w:cstheme="minorHAnsi"/>
        </w:rPr>
        <w:t xml:space="preserve"> New South Wales, South Australia, Western Australia, Victoria</w:t>
      </w:r>
      <w:r w:rsidR="00710A02">
        <w:rPr>
          <w:rFonts w:cstheme="minorHAnsi"/>
        </w:rPr>
        <w:t>, Queensland</w:t>
      </w:r>
    </w:p>
    <w:p w14:paraId="1F514349" w14:textId="7A343081" w:rsidR="00FD1D56" w:rsidRPr="00AE6C16" w:rsidRDefault="00FD1D56" w:rsidP="004841B4">
      <w:pPr>
        <w:rPr>
          <w:rFonts w:cstheme="minorHAnsi"/>
        </w:rPr>
      </w:pPr>
      <w:r w:rsidRPr="006C6861">
        <w:rPr>
          <w:rFonts w:cstheme="minorHAnsi"/>
          <w:b/>
        </w:rPr>
        <w:t>Timeframe:</w:t>
      </w:r>
      <w:r w:rsidR="00C6043B">
        <w:rPr>
          <w:rFonts w:cstheme="minorHAnsi"/>
        </w:rPr>
        <w:t xml:space="preserve"> 2026 to 2027</w:t>
      </w:r>
    </w:p>
    <w:p w14:paraId="0C4345A7" w14:textId="77777777" w:rsidR="004841B4" w:rsidRPr="00663D4B" w:rsidRDefault="004841B4" w:rsidP="004841B4">
      <w:pPr>
        <w:pStyle w:val="Heading2"/>
        <w:rPr>
          <w:b/>
        </w:rPr>
      </w:pPr>
      <w:r w:rsidRPr="00663D4B">
        <w:rPr>
          <w:b/>
        </w:rPr>
        <w:lastRenderedPageBreak/>
        <w:t xml:space="preserve">Action 1.3: </w:t>
      </w:r>
      <w:r w:rsidRPr="00663D4B">
        <w:t>Improve freight education and awareness in urban and industrial land use planning</w:t>
      </w:r>
    </w:p>
    <w:p w14:paraId="0BD3C348" w14:textId="77777777" w:rsidR="004841B4" w:rsidRPr="00494C28" w:rsidRDefault="004841B4" w:rsidP="004841B4">
      <w:pPr>
        <w:spacing w:before="80"/>
        <w:rPr>
          <w:rFonts w:asciiTheme="majorHAnsi" w:hAnsiTheme="majorHAnsi" w:cstheme="majorBidi"/>
          <w:sz w:val="26"/>
          <w:szCs w:val="26"/>
        </w:rPr>
      </w:pPr>
      <w:r w:rsidRPr="00581B8A">
        <w:rPr>
          <w:b/>
        </w:rPr>
        <w:t>What we will do</w:t>
      </w:r>
      <w:r>
        <w:rPr>
          <w:b/>
        </w:rPr>
        <w:t xml:space="preserve">: </w:t>
      </w:r>
      <w:r w:rsidRPr="00FE4D28">
        <w:t>Develop</w:t>
      </w:r>
      <w:r>
        <w:t xml:space="preserve"> education and awareness raising initiatives on the importance and needs of freight operations in urban planning and consider the issue of industrial land use in the context of the Planning Ministers’ Meeting. </w:t>
      </w:r>
    </w:p>
    <w:p w14:paraId="55F749B1" w14:textId="77777777" w:rsidR="004841B4" w:rsidRPr="00FE5859" w:rsidRDefault="004841B4" w:rsidP="004841B4">
      <w:pPr>
        <w:spacing w:before="240"/>
        <w:rPr>
          <w:rFonts w:cstheme="minorHAnsi"/>
        </w:rPr>
      </w:pPr>
      <w:r w:rsidRPr="00581B8A">
        <w:rPr>
          <w:rFonts w:cstheme="minorHAnsi"/>
          <w:b/>
        </w:rPr>
        <w:t>Why:</w:t>
      </w:r>
      <w:r w:rsidRPr="00581B8A">
        <w:rPr>
          <w:rFonts w:cstheme="minorHAnsi"/>
        </w:rPr>
        <w:t xml:space="preserve"> </w:t>
      </w:r>
      <w:r>
        <w:rPr>
          <w:rFonts w:cstheme="minorHAnsi"/>
        </w:rPr>
        <w:t>Industrial land availability is extremely low in cities and is being pushed further from ports and key nodes, impacting productivity and increasing congestion and emissions in urban areas. Increasing the awareness of the needs of freight in planning will help ensure key land is preserved for industrial use, improving freight productivity and ensuring better access to freight services in urban areas.</w:t>
      </w:r>
    </w:p>
    <w:p w14:paraId="17EC2018" w14:textId="77777777" w:rsidR="00FD1D56" w:rsidRDefault="00FD1D56" w:rsidP="00FD1D56">
      <w:pPr>
        <w:rPr>
          <w:rFonts w:cstheme="minorHAnsi"/>
        </w:rPr>
      </w:pPr>
      <w:r w:rsidRPr="006C6861">
        <w:rPr>
          <w:rFonts w:cstheme="minorHAnsi"/>
          <w:b/>
        </w:rPr>
        <w:t>Lead:</w:t>
      </w:r>
      <w:r>
        <w:rPr>
          <w:rFonts w:cstheme="minorHAnsi"/>
        </w:rPr>
        <w:t xml:space="preserve"> Commonwealth</w:t>
      </w:r>
    </w:p>
    <w:p w14:paraId="5897FFD3" w14:textId="3C51D9EB" w:rsidR="00FD1D56" w:rsidRPr="006C6861" w:rsidRDefault="00FD1D56" w:rsidP="00FD1D56">
      <w:pPr>
        <w:rPr>
          <w:rFonts w:cstheme="minorHAnsi"/>
        </w:rPr>
      </w:pPr>
      <w:r w:rsidRPr="006C6861">
        <w:rPr>
          <w:rFonts w:cstheme="minorHAnsi"/>
          <w:b/>
        </w:rPr>
        <w:t>Key Collaborators:</w:t>
      </w:r>
      <w:r w:rsidR="006C6861">
        <w:rPr>
          <w:rFonts w:cstheme="minorHAnsi"/>
        </w:rPr>
        <w:t xml:space="preserve"> New South Wales, Western Australia</w:t>
      </w:r>
      <w:r w:rsidR="00950053">
        <w:rPr>
          <w:rFonts w:cstheme="minorHAnsi"/>
        </w:rPr>
        <w:t>, Australian Local Government Association</w:t>
      </w:r>
      <w:r w:rsidR="004F0E4D">
        <w:rPr>
          <w:rFonts w:cstheme="minorHAnsi"/>
        </w:rPr>
        <w:t>, Victoria</w:t>
      </w:r>
    </w:p>
    <w:p w14:paraId="5A3E29F4" w14:textId="106CEA89" w:rsidR="00FD1D56" w:rsidRDefault="00FD1D56" w:rsidP="00FD1D56">
      <w:pPr>
        <w:rPr>
          <w:rFonts w:cstheme="minorHAnsi"/>
        </w:rPr>
      </w:pPr>
      <w:r w:rsidRPr="006C6861">
        <w:rPr>
          <w:rFonts w:cstheme="minorHAnsi"/>
          <w:b/>
        </w:rPr>
        <w:t>Timeframe:</w:t>
      </w:r>
      <w:r w:rsidR="006C6861">
        <w:rPr>
          <w:rFonts w:cstheme="minorHAnsi"/>
        </w:rPr>
        <w:t xml:space="preserve"> </w:t>
      </w:r>
      <w:r w:rsidR="00C6043B">
        <w:rPr>
          <w:rFonts w:cstheme="minorHAnsi"/>
        </w:rPr>
        <w:t>2025 to 2026</w:t>
      </w:r>
    </w:p>
    <w:p w14:paraId="59373608" w14:textId="77777777" w:rsidR="004841B4" w:rsidRPr="00663D4B" w:rsidRDefault="004841B4" w:rsidP="004841B4">
      <w:pPr>
        <w:pStyle w:val="Heading2"/>
      </w:pPr>
      <w:r w:rsidRPr="00663D4B">
        <w:rPr>
          <w:b/>
        </w:rPr>
        <w:t xml:space="preserve">Action 1.4: </w:t>
      </w:r>
      <w:r w:rsidRPr="00663D4B">
        <w:t>Promote uptake of technology to improve safety and productivity</w:t>
      </w:r>
    </w:p>
    <w:p w14:paraId="3620B529" w14:textId="77777777" w:rsidR="004841B4" w:rsidRDefault="004841B4" w:rsidP="004841B4">
      <w:pPr>
        <w:spacing w:before="80"/>
        <w:rPr>
          <w:rFonts w:cstheme="minorHAnsi"/>
        </w:rPr>
      </w:pPr>
      <w:r w:rsidRPr="00581B8A">
        <w:rPr>
          <w:rFonts w:cstheme="minorHAnsi"/>
          <w:b/>
        </w:rPr>
        <w:t>What we will do</w:t>
      </w:r>
      <w:r>
        <w:rPr>
          <w:rFonts w:cstheme="minorHAnsi"/>
          <w:b/>
        </w:rPr>
        <w:t xml:space="preserve">: </w:t>
      </w:r>
      <w:r>
        <w:rPr>
          <w:rFonts w:cstheme="minorHAnsi"/>
        </w:rPr>
        <w:t>Undertake initiatives to identify and promote transport safety technologies and the opportunities and barriers to their adoption.</w:t>
      </w:r>
    </w:p>
    <w:p w14:paraId="1FD2C116" w14:textId="77777777" w:rsidR="004841B4" w:rsidRPr="00DF2BE9" w:rsidRDefault="004841B4" w:rsidP="004841B4">
      <w:pPr>
        <w:rPr>
          <w:rFonts w:cstheme="minorHAnsi"/>
        </w:rPr>
      </w:pPr>
      <w:r>
        <w:rPr>
          <w:rFonts w:cstheme="minorHAnsi"/>
        </w:rPr>
        <w:t>This will include a stocktake of current and recent technology trials in all states and territories as well as internationally. In assessing the merits of these technologies, there will be a particular focus on their safety, productivity and emissions reduction benefits as well as consideration of how barriers to their uptake can be removed. This process will identify technologies and trials that have the potential to be applied at a national level.</w:t>
      </w:r>
      <w:r>
        <w:rPr>
          <w:rStyle w:val="FootnoteReference"/>
          <w:rFonts w:cstheme="minorHAnsi"/>
        </w:rPr>
        <w:footnoteReference w:id="3"/>
      </w:r>
      <w:r>
        <w:rPr>
          <w:rFonts w:cstheme="minorHAnsi"/>
        </w:rPr>
        <w:t xml:space="preserve"> </w:t>
      </w:r>
    </w:p>
    <w:p w14:paraId="64125583" w14:textId="77777777" w:rsidR="00E36B40" w:rsidRDefault="004841B4" w:rsidP="004841B4">
      <w:r w:rsidRPr="00494C28">
        <w:rPr>
          <w:b/>
        </w:rPr>
        <w:t xml:space="preserve">Why: </w:t>
      </w:r>
      <w:r w:rsidRPr="00AE3B30">
        <w:t>Technolog</w:t>
      </w:r>
      <w:r>
        <w:t>y can provide significant safety benefits to many elements of the freight and supply chain sector. For example, lane assist and crash avoidance features as well as fatigue management technologies have the potential to save lives. Increased automation and use of newer technologies in warehousing may also help reduce workplace injuries. Adoption of new technologies can also enhance transport productivity while helping the sector on its emissions reduction journey.</w:t>
      </w:r>
    </w:p>
    <w:p w14:paraId="26B593E6" w14:textId="6D5F91E7" w:rsidR="00FD1D56" w:rsidRPr="006C6861" w:rsidRDefault="00FD1D56" w:rsidP="00FD1D56">
      <w:pPr>
        <w:rPr>
          <w:rFonts w:cstheme="minorHAnsi"/>
        </w:rPr>
      </w:pPr>
      <w:r w:rsidRPr="006C6861">
        <w:rPr>
          <w:rFonts w:cstheme="minorHAnsi"/>
          <w:b/>
        </w:rPr>
        <w:t xml:space="preserve">Lead: </w:t>
      </w:r>
      <w:r w:rsidR="006C6861">
        <w:rPr>
          <w:rFonts w:cstheme="minorHAnsi"/>
        </w:rPr>
        <w:t>All jurisdictions through the Jurisdictional Working Group</w:t>
      </w:r>
    </w:p>
    <w:p w14:paraId="1EF7B6BF" w14:textId="03E86A5B" w:rsidR="00FD1D56" w:rsidRPr="006C6861" w:rsidRDefault="00FD1D56" w:rsidP="00FD1D56">
      <w:pPr>
        <w:rPr>
          <w:rFonts w:cstheme="minorHAnsi"/>
          <w:b/>
        </w:rPr>
      </w:pPr>
      <w:r w:rsidRPr="006C6861">
        <w:rPr>
          <w:rFonts w:cstheme="minorHAnsi"/>
          <w:b/>
        </w:rPr>
        <w:t>Key Collaborators:</w:t>
      </w:r>
      <w:r w:rsidRPr="006C6861">
        <w:rPr>
          <w:rFonts w:cstheme="minorHAnsi"/>
        </w:rPr>
        <w:t xml:space="preserve"> </w:t>
      </w:r>
      <w:r w:rsidR="006C6861" w:rsidRPr="006C6861">
        <w:rPr>
          <w:rFonts w:cstheme="minorHAnsi"/>
        </w:rPr>
        <w:t>N/A</w:t>
      </w:r>
    </w:p>
    <w:p w14:paraId="202A8F36" w14:textId="0B615B3D" w:rsidR="00FD1D56" w:rsidRDefault="00FD1D56" w:rsidP="00FD1D56">
      <w:pPr>
        <w:rPr>
          <w:rFonts w:cstheme="minorHAnsi"/>
        </w:rPr>
      </w:pPr>
      <w:r w:rsidRPr="006C6861">
        <w:rPr>
          <w:rFonts w:cstheme="minorHAnsi"/>
          <w:b/>
        </w:rPr>
        <w:t>Timeframe:</w:t>
      </w:r>
      <w:r w:rsidR="00C6043B">
        <w:rPr>
          <w:rFonts w:cstheme="minorHAnsi"/>
        </w:rPr>
        <w:t xml:space="preserve"> Ongoing</w:t>
      </w:r>
    </w:p>
    <w:p w14:paraId="2E677E00" w14:textId="77777777" w:rsidR="00E36B40" w:rsidRDefault="00E36B40">
      <w:pPr>
        <w:suppressAutoHyphens w:val="0"/>
      </w:pPr>
      <w:r>
        <w:br w:type="page"/>
      </w:r>
    </w:p>
    <w:p w14:paraId="53597FB2" w14:textId="77777777" w:rsidR="00E36B40" w:rsidRDefault="00E36B40" w:rsidP="00E36B40">
      <w:pPr>
        <w:pStyle w:val="Heading1"/>
      </w:pPr>
      <w:bookmarkStart w:id="12" w:name="_Toc174346841"/>
      <w:bookmarkStart w:id="13" w:name="_Toc187333616"/>
      <w:bookmarkStart w:id="14" w:name="_Hlk175826595"/>
      <w:r>
        <w:lastRenderedPageBreak/>
        <w:t xml:space="preserve">2. </w:t>
      </w:r>
      <w:r w:rsidRPr="00E36B40">
        <w:t>Resilience</w:t>
      </w:r>
      <w:bookmarkEnd w:id="12"/>
      <w:bookmarkEnd w:id="13"/>
    </w:p>
    <w:p w14:paraId="2B84A442" w14:textId="77777777" w:rsidR="00E36B40" w:rsidRDefault="00E36B40" w:rsidP="00E36B40">
      <w:r>
        <w:t xml:space="preserve">With increasingly frequent disruptions to Australia’s transport network due to extreme weather, there is an urgent need to improve the resilience of our networks and supply chains. When there are interruptions to a transport network, communities can be cut off from critical goods and services. These interruptions disproportionately impact regional Australia and remote First Nations communities. </w:t>
      </w:r>
    </w:p>
    <w:p w14:paraId="1A9E5497" w14:textId="2B21E4F0" w:rsidR="00E36B40" w:rsidRPr="0042799B" w:rsidRDefault="00E36B40" w:rsidP="00E36B40">
      <w:pPr>
        <w:rPr>
          <w:rFonts w:ascii="Times New Roman" w:hAnsi="Times New Roman" w:cs="Times New Roman"/>
          <w:sz w:val="24"/>
          <w:szCs w:val="24"/>
          <w:lang w:eastAsia="en-AU"/>
        </w:rPr>
      </w:pPr>
      <w:r>
        <w:t xml:space="preserve">Impacts to supply chains also have a significant economic impact, costing billions </w:t>
      </w:r>
      <w:r w:rsidR="00A3668F">
        <w:t xml:space="preserve">of dollars </w:t>
      </w:r>
      <w:r>
        <w:t xml:space="preserve">in damage to road and rail infrastructure as well as impacting businesses who rely on these networks to function. As such, responses to disruptions need to be better coordinated. A better evidence base for climate risk will help inform investment decisions, ensuring the network is built back better after damage and spending is directed to where it can have the greatest impact. Improving the resilience of transport infrastructure will also improve the reliability of the network and </w:t>
      </w:r>
      <w:r w:rsidR="00A3668F">
        <w:t xml:space="preserve">provide </w:t>
      </w:r>
      <w:r>
        <w:t>businesses and customers more options in terms of transport mode. This, in turn, will help with efforts to decarbonise the sector. The resilience of supply chains also relies on the availability of an appropriately skilled workforce. Understanding the current skills gaps across the workforce and the skills and capability needs of the future workforce is critical.</w:t>
      </w:r>
      <w:bookmarkEnd w:id="14"/>
      <w:r>
        <w:t xml:space="preserve"> </w:t>
      </w:r>
    </w:p>
    <w:p w14:paraId="471FEBD0" w14:textId="1613996A" w:rsidR="00E36B40" w:rsidRPr="00663D4B" w:rsidRDefault="00E36B40" w:rsidP="00E36B40">
      <w:pPr>
        <w:pStyle w:val="Heading2"/>
        <w:rPr>
          <w:b/>
        </w:rPr>
      </w:pPr>
      <w:r w:rsidRPr="00663D4B">
        <w:rPr>
          <w:b/>
        </w:rPr>
        <w:t xml:space="preserve">Action 2.1: </w:t>
      </w:r>
      <w:r w:rsidRPr="00663D4B">
        <w:t>Develop a National Freight Resilience Plan</w:t>
      </w:r>
    </w:p>
    <w:p w14:paraId="2EA664ED" w14:textId="4E58997D" w:rsidR="00E36B40" w:rsidRDefault="00E36B40" w:rsidP="00E36B40">
      <w:pPr>
        <w:spacing w:before="80"/>
        <w:rPr>
          <w:rFonts w:cstheme="minorHAnsi"/>
        </w:rPr>
      </w:pPr>
      <w:r w:rsidRPr="00FB2EEA">
        <w:rPr>
          <w:rFonts w:cstheme="minorHAnsi"/>
          <w:b/>
        </w:rPr>
        <w:t>What we will do:</w:t>
      </w:r>
      <w:r w:rsidRPr="00FB2EEA">
        <w:rPr>
          <w:rFonts w:cstheme="minorHAnsi"/>
        </w:rPr>
        <w:t xml:space="preserve"> Develop a National Freight Resilience Plan to provide a national</w:t>
      </w:r>
      <w:r>
        <w:rPr>
          <w:rFonts w:cstheme="minorHAnsi"/>
        </w:rPr>
        <w:t xml:space="preserve"> response</w:t>
      </w:r>
      <w:r w:rsidRPr="00FB2EEA">
        <w:rPr>
          <w:rFonts w:cstheme="minorHAnsi"/>
        </w:rPr>
        <w:t xml:space="preserve"> framework for all governments to</w:t>
      </w:r>
      <w:r>
        <w:rPr>
          <w:rFonts w:cstheme="minorHAnsi"/>
        </w:rPr>
        <w:t xml:space="preserve"> </w:t>
      </w:r>
      <w:r w:rsidRPr="00FB2EEA">
        <w:rPr>
          <w:rFonts w:cstheme="minorHAnsi"/>
        </w:rPr>
        <w:t>ensure a consistent and coordinated response to significant supply chain disruptions.</w:t>
      </w:r>
      <w:r w:rsidR="00A3668F">
        <w:rPr>
          <w:rFonts w:cstheme="minorHAnsi"/>
        </w:rPr>
        <w:t xml:space="preserve"> </w:t>
      </w:r>
      <w:r>
        <w:rPr>
          <w:rFonts w:cstheme="minorHAnsi"/>
        </w:rPr>
        <w:t xml:space="preserve">The plan could consider a range of issues including, but not limited to: </w:t>
      </w:r>
    </w:p>
    <w:p w14:paraId="407AB42F" w14:textId="77777777" w:rsidR="00E36B40" w:rsidRDefault="00E36B40" w:rsidP="00E36B40">
      <w:pPr>
        <w:pStyle w:val="ListParagraph"/>
        <w:numPr>
          <w:ilvl w:val="0"/>
          <w:numId w:val="35"/>
        </w:numPr>
        <w:suppressAutoHyphens w:val="0"/>
        <w:spacing w:before="80" w:after="160" w:line="259" w:lineRule="auto"/>
        <w:rPr>
          <w:rFonts w:cstheme="minorHAnsi"/>
        </w:rPr>
      </w:pPr>
      <w:r w:rsidRPr="00D84080">
        <w:rPr>
          <w:rFonts w:cstheme="minorHAnsi"/>
        </w:rPr>
        <w:t xml:space="preserve">identification of and activation thresholds for pre-approved detour routes </w:t>
      </w:r>
    </w:p>
    <w:p w14:paraId="3E5F51FB" w14:textId="77777777" w:rsidR="00E36B40" w:rsidRPr="00D84080" w:rsidRDefault="00E36B40" w:rsidP="00E36B40">
      <w:pPr>
        <w:pStyle w:val="ListParagraph"/>
        <w:numPr>
          <w:ilvl w:val="0"/>
          <w:numId w:val="35"/>
        </w:numPr>
        <w:suppressAutoHyphens w:val="0"/>
        <w:spacing w:before="80" w:after="160" w:line="259" w:lineRule="auto"/>
        <w:rPr>
          <w:rFonts w:cstheme="minorHAnsi"/>
        </w:rPr>
      </w:pPr>
      <w:r w:rsidRPr="00D84080">
        <w:rPr>
          <w:rFonts w:cstheme="minorHAnsi"/>
        </w:rPr>
        <w:t>the role of coastal shipping and regional air freight during outages of key land routes</w:t>
      </w:r>
    </w:p>
    <w:p w14:paraId="69D8DB07" w14:textId="77777777" w:rsidR="00E36B40" w:rsidRDefault="00E36B40" w:rsidP="00E36B40">
      <w:pPr>
        <w:pStyle w:val="ListParagraph"/>
        <w:numPr>
          <w:ilvl w:val="0"/>
          <w:numId w:val="35"/>
        </w:numPr>
        <w:suppressAutoHyphens w:val="0"/>
        <w:spacing w:before="80" w:after="160" w:line="259" w:lineRule="auto"/>
        <w:rPr>
          <w:rFonts w:cstheme="minorHAnsi"/>
        </w:rPr>
      </w:pPr>
      <w:r w:rsidRPr="00D84080">
        <w:rPr>
          <w:rFonts w:cstheme="minorHAnsi"/>
        </w:rPr>
        <w:t>identification of freight routes most vulnerable to disruption</w:t>
      </w:r>
      <w:r>
        <w:rPr>
          <w:rFonts w:cstheme="minorHAnsi"/>
        </w:rPr>
        <w:t xml:space="preserve"> </w:t>
      </w:r>
      <w:r w:rsidRPr="00D84080">
        <w:rPr>
          <w:rFonts w:cstheme="minorHAnsi"/>
        </w:rPr>
        <w:t xml:space="preserve">and </w:t>
      </w:r>
    </w:p>
    <w:p w14:paraId="3F579B5F" w14:textId="77777777" w:rsidR="00E36B40" w:rsidRPr="00D84080" w:rsidRDefault="00E36B40" w:rsidP="00E36B40">
      <w:pPr>
        <w:pStyle w:val="ListParagraph"/>
        <w:numPr>
          <w:ilvl w:val="0"/>
          <w:numId w:val="35"/>
        </w:numPr>
        <w:suppressAutoHyphens w:val="0"/>
        <w:spacing w:before="80" w:after="160" w:line="259" w:lineRule="auto"/>
        <w:rPr>
          <w:rFonts w:cstheme="minorHAnsi"/>
        </w:rPr>
      </w:pPr>
      <w:r w:rsidRPr="00D84080">
        <w:rPr>
          <w:rFonts w:cstheme="minorHAnsi"/>
        </w:rPr>
        <w:t>opportunities for cross-jurisdictional cooperation during disruptions.</w:t>
      </w:r>
    </w:p>
    <w:p w14:paraId="1EF060B5" w14:textId="77777777" w:rsidR="00E36B40" w:rsidRDefault="00E36B40" w:rsidP="00E36B40">
      <w:pPr>
        <w:rPr>
          <w:rFonts w:cstheme="minorHAnsi"/>
        </w:rPr>
      </w:pPr>
      <w:r w:rsidRPr="00FB2EEA">
        <w:rPr>
          <w:rFonts w:cstheme="minorHAnsi"/>
          <w:b/>
        </w:rPr>
        <w:t>Why:</w:t>
      </w:r>
      <w:r w:rsidRPr="00FB2EEA">
        <w:rPr>
          <w:rFonts w:cstheme="minorHAnsi"/>
        </w:rPr>
        <w:t xml:space="preserve"> The increasing frequency of extreme weather events impacting key freight routes highlight</w:t>
      </w:r>
      <w:r>
        <w:rPr>
          <w:rFonts w:cstheme="minorHAnsi"/>
        </w:rPr>
        <w:t>s</w:t>
      </w:r>
      <w:r w:rsidRPr="00FB2EEA">
        <w:rPr>
          <w:rFonts w:cstheme="minorHAnsi"/>
        </w:rPr>
        <w:t xml:space="preserve"> the </w:t>
      </w:r>
      <w:r>
        <w:rPr>
          <w:rFonts w:cstheme="minorHAnsi"/>
        </w:rPr>
        <w:t>importance of</w:t>
      </w:r>
      <w:r w:rsidRPr="00FB2EEA">
        <w:rPr>
          <w:rFonts w:cstheme="minorHAnsi"/>
        </w:rPr>
        <w:t xml:space="preserve"> resilient freight routes and supply chains. A </w:t>
      </w:r>
      <w:r>
        <w:rPr>
          <w:rFonts w:cstheme="minorHAnsi"/>
        </w:rPr>
        <w:t xml:space="preserve">National Freight </w:t>
      </w:r>
      <w:r w:rsidRPr="00FB2EEA">
        <w:rPr>
          <w:rFonts w:cstheme="minorHAnsi"/>
        </w:rPr>
        <w:t xml:space="preserve">Resilience Plan would </w:t>
      </w:r>
      <w:r>
        <w:rPr>
          <w:rFonts w:cstheme="minorHAnsi"/>
        </w:rPr>
        <w:t>enable more</w:t>
      </w:r>
      <w:r w:rsidRPr="00FB2EEA">
        <w:rPr>
          <w:rFonts w:cstheme="minorHAnsi"/>
        </w:rPr>
        <w:t xml:space="preserve"> streamlined and coordinated</w:t>
      </w:r>
      <w:r>
        <w:rPr>
          <w:rFonts w:cstheme="minorHAnsi"/>
        </w:rPr>
        <w:t xml:space="preserve"> responses, setting out how to respond during crises to ensure Australia remains connected while keeping our transport workforce safe.</w:t>
      </w:r>
    </w:p>
    <w:p w14:paraId="548FBA43" w14:textId="5F78394E" w:rsidR="00FD1D56" w:rsidRDefault="00FD1D56" w:rsidP="00FD1D56">
      <w:pPr>
        <w:rPr>
          <w:rFonts w:cstheme="minorHAnsi"/>
        </w:rPr>
      </w:pPr>
      <w:r w:rsidRPr="006C6861">
        <w:rPr>
          <w:rFonts w:cstheme="minorHAnsi"/>
          <w:b/>
        </w:rPr>
        <w:t>Lead:</w:t>
      </w:r>
      <w:r>
        <w:rPr>
          <w:rFonts w:cstheme="minorHAnsi"/>
        </w:rPr>
        <w:t xml:space="preserve"> </w:t>
      </w:r>
      <w:r w:rsidR="006C6861">
        <w:rPr>
          <w:rFonts w:cstheme="minorHAnsi"/>
        </w:rPr>
        <w:t xml:space="preserve">Commonwealth </w:t>
      </w:r>
    </w:p>
    <w:p w14:paraId="28E9749B" w14:textId="799D53A3" w:rsidR="00FD1D56" w:rsidRDefault="00FD1D56" w:rsidP="00FD1D56">
      <w:pPr>
        <w:rPr>
          <w:rFonts w:cstheme="minorHAnsi"/>
        </w:rPr>
      </w:pPr>
      <w:r w:rsidRPr="006C6861">
        <w:rPr>
          <w:rFonts w:cstheme="minorHAnsi"/>
          <w:b/>
        </w:rPr>
        <w:t>Key Collaborators:</w:t>
      </w:r>
      <w:r w:rsidR="006C6861">
        <w:rPr>
          <w:rFonts w:cstheme="minorHAnsi"/>
        </w:rPr>
        <w:t xml:space="preserve"> All jurisdictions through the Jurisdictional Working Group</w:t>
      </w:r>
    </w:p>
    <w:p w14:paraId="1F2B371A" w14:textId="39AFE324" w:rsidR="00FD1D56" w:rsidRDefault="00FD1D56" w:rsidP="00FD1D56">
      <w:pPr>
        <w:rPr>
          <w:rFonts w:cstheme="minorHAnsi"/>
        </w:rPr>
      </w:pPr>
      <w:r w:rsidRPr="006C6861">
        <w:rPr>
          <w:rFonts w:cstheme="minorHAnsi"/>
          <w:b/>
        </w:rPr>
        <w:t>Timeframe:</w:t>
      </w:r>
      <w:r w:rsidR="00C6043B">
        <w:rPr>
          <w:rFonts w:cstheme="minorHAnsi"/>
        </w:rPr>
        <w:t xml:space="preserve"> 2025</w:t>
      </w:r>
    </w:p>
    <w:p w14:paraId="467FED51" w14:textId="77777777" w:rsidR="00E36B40" w:rsidRPr="00663D4B" w:rsidRDefault="00E36B40" w:rsidP="00E36B40">
      <w:pPr>
        <w:pStyle w:val="Heading2"/>
        <w:rPr>
          <w:b/>
        </w:rPr>
      </w:pPr>
      <w:r w:rsidRPr="00663D4B">
        <w:rPr>
          <w:b/>
        </w:rPr>
        <w:t>Action 2.2:</w:t>
      </w:r>
      <w:r>
        <w:rPr>
          <w:b/>
        </w:rPr>
        <w:t xml:space="preserve"> </w:t>
      </w:r>
      <w:r w:rsidRPr="00663D4B">
        <w:t>Conduct periodic supply chain risk and resilience modelling</w:t>
      </w:r>
    </w:p>
    <w:p w14:paraId="34C019CA" w14:textId="77777777" w:rsidR="00E36B40" w:rsidRDefault="00E36B40" w:rsidP="00E36B40">
      <w:pPr>
        <w:rPr>
          <w:rFonts w:cstheme="minorHAnsi"/>
        </w:rPr>
      </w:pPr>
      <w:r w:rsidRPr="00FB2EEA">
        <w:rPr>
          <w:rFonts w:cstheme="minorHAnsi"/>
          <w:b/>
        </w:rPr>
        <w:t xml:space="preserve">What we will do: </w:t>
      </w:r>
      <w:r>
        <w:rPr>
          <w:rFonts w:cstheme="minorHAnsi"/>
        </w:rPr>
        <w:t xml:space="preserve">Expand on the risk assessment undertaken in </w:t>
      </w:r>
      <w:r w:rsidRPr="00FB2EEA">
        <w:rPr>
          <w:rFonts w:cstheme="minorHAnsi"/>
        </w:rPr>
        <w:t xml:space="preserve">Phase One </w:t>
      </w:r>
      <w:r>
        <w:rPr>
          <w:rFonts w:cstheme="minorHAnsi"/>
        </w:rPr>
        <w:t xml:space="preserve">of the Road and Rail Supply Chain Resilience Review by conducting supply chain resilience </w:t>
      </w:r>
      <w:r w:rsidRPr="00FB2EEA">
        <w:rPr>
          <w:rFonts w:cstheme="minorHAnsi"/>
        </w:rPr>
        <w:t xml:space="preserve">modelling on a </w:t>
      </w:r>
      <w:r>
        <w:rPr>
          <w:rFonts w:cstheme="minorHAnsi"/>
        </w:rPr>
        <w:t>5-yearly</w:t>
      </w:r>
      <w:r w:rsidRPr="00FB2EEA">
        <w:rPr>
          <w:rFonts w:cstheme="minorHAnsi"/>
        </w:rPr>
        <w:t xml:space="preserve"> basis, incorporating the latest data on freight demand and climate risk.</w:t>
      </w:r>
      <w:r>
        <w:rPr>
          <w:rFonts w:cstheme="minorHAnsi"/>
        </w:rPr>
        <w:t xml:space="preserve"> This modelling can then be used to inform infrastructure investment decisions and subsequent reviews of the Strategy. The modelling will be done prior to the next review of the Strategy in 2029.</w:t>
      </w:r>
    </w:p>
    <w:p w14:paraId="48AA1A4C" w14:textId="77777777" w:rsidR="00E36B40" w:rsidRDefault="00E36B40" w:rsidP="00E36B40">
      <w:pPr>
        <w:rPr>
          <w:rFonts w:cstheme="minorHAnsi"/>
        </w:rPr>
      </w:pPr>
      <w:r w:rsidRPr="00FB2EEA">
        <w:rPr>
          <w:rFonts w:cstheme="minorHAnsi"/>
          <w:b/>
        </w:rPr>
        <w:t>Why:</w:t>
      </w:r>
      <w:r>
        <w:rPr>
          <w:rFonts w:cstheme="minorHAnsi"/>
          <w:b/>
        </w:rPr>
        <w:t xml:space="preserve"> </w:t>
      </w:r>
      <w:r>
        <w:t xml:space="preserve">The Road and Rail Supply Chain Resilience Review took a significant step in identifying the key freight routes that are both critical to the efficient movement of goods, and vulnerable to climate hazards. </w:t>
      </w:r>
      <w:r>
        <w:rPr>
          <w:rFonts w:cstheme="minorHAnsi"/>
        </w:rPr>
        <w:t xml:space="preserve">Periodically conducting and expanding the </w:t>
      </w:r>
      <w:r w:rsidRPr="00FB2EEA">
        <w:rPr>
          <w:rFonts w:cstheme="minorHAnsi"/>
        </w:rPr>
        <w:t>Phase One modelling</w:t>
      </w:r>
      <w:r>
        <w:rPr>
          <w:rFonts w:cstheme="minorHAnsi"/>
        </w:rPr>
        <w:t xml:space="preserve"> with additional data will help to identify additional road and rail corridors that are vulnerable to disruptions, expand the evidence base on supply chain resilience</w:t>
      </w:r>
      <w:r w:rsidRPr="00FB2EEA">
        <w:rPr>
          <w:rFonts w:cstheme="minorHAnsi"/>
        </w:rPr>
        <w:t xml:space="preserve"> and establish trend data on key freight</w:t>
      </w:r>
      <w:r>
        <w:rPr>
          <w:rFonts w:cstheme="minorHAnsi"/>
        </w:rPr>
        <w:t xml:space="preserve"> route</w:t>
      </w:r>
      <w:r w:rsidRPr="00FB2EEA">
        <w:rPr>
          <w:rFonts w:cstheme="minorHAnsi"/>
        </w:rPr>
        <w:t xml:space="preserve"> resilience. This data can be used to support a </w:t>
      </w:r>
      <w:r>
        <w:rPr>
          <w:rFonts w:cstheme="minorHAnsi"/>
        </w:rPr>
        <w:t xml:space="preserve">future measure of the Strategy’s impact on </w:t>
      </w:r>
      <w:r w:rsidRPr="00FB2EEA">
        <w:rPr>
          <w:rFonts w:cstheme="minorHAnsi"/>
        </w:rPr>
        <w:t>road and rail resilience.</w:t>
      </w:r>
    </w:p>
    <w:p w14:paraId="730B7DAC" w14:textId="77777777" w:rsidR="00FD1D56" w:rsidRDefault="00FD1D56" w:rsidP="00FD1D56">
      <w:pPr>
        <w:rPr>
          <w:rFonts w:cstheme="minorHAnsi"/>
        </w:rPr>
      </w:pPr>
      <w:r w:rsidRPr="006C6861">
        <w:rPr>
          <w:rFonts w:cstheme="minorHAnsi"/>
          <w:b/>
        </w:rPr>
        <w:t>Lead:</w:t>
      </w:r>
      <w:r>
        <w:rPr>
          <w:rFonts w:cstheme="minorHAnsi"/>
        </w:rPr>
        <w:t xml:space="preserve"> Commonwealth</w:t>
      </w:r>
    </w:p>
    <w:p w14:paraId="1AE122CD" w14:textId="38052322" w:rsidR="00FD1D56" w:rsidRPr="006C6861" w:rsidRDefault="00FD1D56" w:rsidP="00FD1D56">
      <w:pPr>
        <w:rPr>
          <w:rFonts w:cstheme="minorHAnsi"/>
        </w:rPr>
      </w:pPr>
      <w:r w:rsidRPr="006C6861">
        <w:rPr>
          <w:rFonts w:cstheme="minorHAnsi"/>
          <w:b/>
        </w:rPr>
        <w:lastRenderedPageBreak/>
        <w:t>Key Collaborators:</w:t>
      </w:r>
      <w:r w:rsidR="006C6861">
        <w:rPr>
          <w:rFonts w:cstheme="minorHAnsi"/>
        </w:rPr>
        <w:t xml:space="preserve"> Western Australia, Queensland, New South Wales</w:t>
      </w:r>
    </w:p>
    <w:p w14:paraId="4A00DAEE" w14:textId="66BEB14D" w:rsidR="00FD1D56" w:rsidRDefault="00FD1D56" w:rsidP="00FD1D56">
      <w:pPr>
        <w:rPr>
          <w:rFonts w:cstheme="minorHAnsi"/>
        </w:rPr>
      </w:pPr>
      <w:r w:rsidRPr="006C6861">
        <w:rPr>
          <w:rFonts w:cstheme="minorHAnsi"/>
          <w:b/>
        </w:rPr>
        <w:t>Timeframe:</w:t>
      </w:r>
      <w:r w:rsidR="00C6043B">
        <w:rPr>
          <w:rFonts w:cstheme="minorHAnsi"/>
        </w:rPr>
        <w:t xml:space="preserve"> 2027 to 2028</w:t>
      </w:r>
    </w:p>
    <w:p w14:paraId="14618476" w14:textId="77777777" w:rsidR="00E36B40" w:rsidRPr="00663D4B" w:rsidRDefault="00E36B40" w:rsidP="00E36B40">
      <w:pPr>
        <w:pStyle w:val="Heading2"/>
      </w:pPr>
      <w:r w:rsidRPr="00663D4B">
        <w:rPr>
          <w:b/>
        </w:rPr>
        <w:t xml:space="preserve">Action 2.3: </w:t>
      </w:r>
      <w:r w:rsidRPr="00663D4B">
        <w:t>Develop a Freight Infrastructure Investment Framework</w:t>
      </w:r>
    </w:p>
    <w:p w14:paraId="7C23628E" w14:textId="77777777" w:rsidR="00E36B40" w:rsidRPr="00FB2EEA" w:rsidRDefault="00E36B40" w:rsidP="00E36B40">
      <w:pPr>
        <w:spacing w:before="80"/>
        <w:rPr>
          <w:rFonts w:cstheme="minorHAnsi"/>
          <w:lang w:val="en-US"/>
        </w:rPr>
      </w:pPr>
      <w:r w:rsidRPr="00FB2EEA">
        <w:rPr>
          <w:rFonts w:cstheme="minorHAnsi"/>
          <w:b/>
        </w:rPr>
        <w:t>What we will do:</w:t>
      </w:r>
      <w:r w:rsidRPr="00FB2EEA">
        <w:rPr>
          <w:rFonts w:cstheme="minorHAnsi"/>
          <w:lang w:val="en-US"/>
        </w:rPr>
        <w:t xml:space="preserve"> Develop a principles-based National Freight Investment Framework to target and </w:t>
      </w:r>
      <w:r>
        <w:rPr>
          <w:rFonts w:cstheme="minorHAnsi"/>
          <w:lang w:val="en-US"/>
        </w:rPr>
        <w:t xml:space="preserve">guide </w:t>
      </w:r>
      <w:r w:rsidRPr="00FB2EEA">
        <w:rPr>
          <w:rFonts w:cstheme="minorHAnsi"/>
          <w:lang w:val="en-US"/>
        </w:rPr>
        <w:t>future government and commercial infrastructure investment in freight networks across Australia.</w:t>
      </w:r>
      <w:r>
        <w:rPr>
          <w:rFonts w:cstheme="minorHAnsi"/>
          <w:lang w:val="en-US"/>
        </w:rPr>
        <w:t xml:space="preserve"> The framework would consider nationally significant principles such as safety, </w:t>
      </w:r>
      <w:r>
        <w:rPr>
          <w:lang w:val="en-US"/>
        </w:rPr>
        <w:t xml:space="preserve">network resilience, reliability, productivity, capacity, interoperability, and contribution to net zero targets and </w:t>
      </w:r>
      <w:proofErr w:type="spellStart"/>
      <w:r>
        <w:rPr>
          <w:lang w:val="en-US"/>
        </w:rPr>
        <w:t>decarbonisation</w:t>
      </w:r>
      <w:proofErr w:type="spellEnd"/>
      <w:r>
        <w:rPr>
          <w:lang w:val="en-US"/>
        </w:rPr>
        <w:t>.</w:t>
      </w:r>
    </w:p>
    <w:p w14:paraId="7488CA8F" w14:textId="77777777" w:rsidR="00E36B40" w:rsidRDefault="00E36B40" w:rsidP="00E36B40">
      <w:pPr>
        <w:rPr>
          <w:rFonts w:cstheme="minorHAnsi"/>
        </w:rPr>
      </w:pPr>
      <w:r w:rsidRPr="00FB2EEA">
        <w:rPr>
          <w:rFonts w:cstheme="minorHAnsi"/>
          <w:b/>
        </w:rPr>
        <w:t>Why:</w:t>
      </w:r>
      <w:r w:rsidRPr="00FB2EEA">
        <w:rPr>
          <w:rFonts w:cstheme="minorHAnsi"/>
        </w:rPr>
        <w:t xml:space="preserve"> There are numerous policies </w:t>
      </w:r>
      <w:r>
        <w:rPr>
          <w:rFonts w:cstheme="minorHAnsi"/>
        </w:rPr>
        <w:t xml:space="preserve">at Commonwealth and State level </w:t>
      </w:r>
      <w:r w:rsidRPr="00FB2EEA">
        <w:rPr>
          <w:rFonts w:cstheme="minorHAnsi"/>
        </w:rPr>
        <w:t>to help guide</w:t>
      </w:r>
      <w:r>
        <w:rPr>
          <w:rFonts w:cstheme="minorHAnsi"/>
        </w:rPr>
        <w:t xml:space="preserve"> transport</w:t>
      </w:r>
      <w:r w:rsidRPr="00FB2EEA">
        <w:rPr>
          <w:rFonts w:cstheme="minorHAnsi"/>
        </w:rPr>
        <w:t xml:space="preserve"> infrastructure investment across Australia, however these policies </w:t>
      </w:r>
      <w:r>
        <w:rPr>
          <w:rFonts w:cstheme="minorHAnsi"/>
        </w:rPr>
        <w:t xml:space="preserve">are not designed to specifically consider the needs of </w:t>
      </w:r>
      <w:r w:rsidRPr="00FB2EEA">
        <w:rPr>
          <w:rFonts w:cstheme="minorHAnsi"/>
        </w:rPr>
        <w:t xml:space="preserve">freight. A single national freight </w:t>
      </w:r>
      <w:r>
        <w:rPr>
          <w:rFonts w:cstheme="minorHAnsi"/>
        </w:rPr>
        <w:t>investment framework,</w:t>
      </w:r>
      <w:r w:rsidRPr="00FB2EEA">
        <w:rPr>
          <w:rFonts w:cstheme="minorHAnsi"/>
        </w:rPr>
        <w:t xml:space="preserve"> which </w:t>
      </w:r>
      <w:r>
        <w:rPr>
          <w:rFonts w:cstheme="minorHAnsi"/>
        </w:rPr>
        <w:t>elevates</w:t>
      </w:r>
      <w:r w:rsidRPr="00FB2EEA">
        <w:rPr>
          <w:rFonts w:cstheme="minorHAnsi"/>
        </w:rPr>
        <w:t xml:space="preserve"> the needs of the freight sector</w:t>
      </w:r>
      <w:r>
        <w:rPr>
          <w:rFonts w:cstheme="minorHAnsi"/>
        </w:rPr>
        <w:t xml:space="preserve"> and considers the supply chain as a whole,</w:t>
      </w:r>
      <w:r w:rsidRPr="00FB2EEA">
        <w:rPr>
          <w:rFonts w:cstheme="minorHAnsi"/>
        </w:rPr>
        <w:t xml:space="preserve"> will help prioritise </w:t>
      </w:r>
      <w:r>
        <w:rPr>
          <w:rFonts w:cstheme="minorHAnsi"/>
        </w:rPr>
        <w:t xml:space="preserve">and coordinate future </w:t>
      </w:r>
      <w:r w:rsidRPr="00FB2EEA">
        <w:rPr>
          <w:rFonts w:cstheme="minorHAnsi"/>
        </w:rPr>
        <w:t>investment decisions</w:t>
      </w:r>
      <w:r>
        <w:rPr>
          <w:rFonts w:cstheme="minorHAnsi"/>
        </w:rPr>
        <w:t xml:space="preserve"> to deliver optimal supply chain benefits, reducing overall costs and improving performance of freight transportation</w:t>
      </w:r>
      <w:r w:rsidRPr="00FB2EEA">
        <w:rPr>
          <w:rFonts w:cstheme="minorHAnsi"/>
        </w:rPr>
        <w:t>.</w:t>
      </w:r>
      <w:r>
        <w:rPr>
          <w:rFonts w:cstheme="minorHAnsi"/>
        </w:rPr>
        <w:t xml:space="preserve"> </w:t>
      </w:r>
    </w:p>
    <w:p w14:paraId="3ECFBC39" w14:textId="77777777" w:rsidR="00E36B40" w:rsidRPr="00E36B40" w:rsidRDefault="00E36B40" w:rsidP="00E36B40">
      <w:pPr>
        <w:rPr>
          <w:rFonts w:cstheme="minorHAnsi"/>
        </w:rPr>
      </w:pPr>
      <w:r>
        <w:rPr>
          <w:rFonts w:cstheme="minorHAnsi"/>
        </w:rPr>
        <w:t xml:space="preserve">This framework will build on the Infrastructure Policy Statement, which notes the importance of key freight routes when considering whether transport infrastructure projects are nationally significant. It will also build on the Federation Funding Agreement Schedule for Land Transport Infrastructure Projects, which notes the shared responsibility for </w:t>
      </w:r>
      <w:r w:rsidRPr="00FB15EB">
        <w:rPr>
          <w:rFonts w:cstheme="minorHAnsi"/>
        </w:rPr>
        <w:t xml:space="preserve">investing in the whole-of-life resilience of land transport infrastructure to </w:t>
      </w:r>
      <w:r>
        <w:rPr>
          <w:rFonts w:cstheme="minorHAnsi"/>
        </w:rPr>
        <w:t xml:space="preserve">address emerging issues associated with natural disasters, </w:t>
      </w:r>
      <w:r w:rsidRPr="00FB15EB">
        <w:rPr>
          <w:rFonts w:cstheme="minorHAnsi"/>
        </w:rPr>
        <w:t xml:space="preserve">climate </w:t>
      </w:r>
      <w:r>
        <w:rPr>
          <w:rFonts w:cstheme="minorHAnsi"/>
        </w:rPr>
        <w:t>risk, and security,</w:t>
      </w:r>
      <w:r w:rsidRPr="00FB15EB">
        <w:rPr>
          <w:rFonts w:cstheme="minorHAnsi"/>
        </w:rPr>
        <w:t xml:space="preserve"> thereby enabling freight and supply chain resilience</w:t>
      </w:r>
      <w:r>
        <w:rPr>
          <w:rFonts w:cstheme="minorHAnsi"/>
        </w:rPr>
        <w:t>.</w:t>
      </w:r>
    </w:p>
    <w:p w14:paraId="4571A99F" w14:textId="77777777" w:rsidR="00FD1D56" w:rsidRDefault="00FD1D56" w:rsidP="00FD1D56">
      <w:pPr>
        <w:rPr>
          <w:rFonts w:cstheme="minorHAnsi"/>
        </w:rPr>
      </w:pPr>
      <w:r w:rsidRPr="006C6861">
        <w:rPr>
          <w:rFonts w:cstheme="minorHAnsi"/>
          <w:b/>
        </w:rPr>
        <w:t>Lead:</w:t>
      </w:r>
      <w:r>
        <w:rPr>
          <w:rFonts w:cstheme="minorHAnsi"/>
        </w:rPr>
        <w:t xml:space="preserve"> Commonwealth</w:t>
      </w:r>
    </w:p>
    <w:p w14:paraId="34850258" w14:textId="3660836A" w:rsidR="00FD1D56" w:rsidRPr="006C6861" w:rsidRDefault="00FD1D56" w:rsidP="00FD1D56">
      <w:pPr>
        <w:rPr>
          <w:rFonts w:cstheme="minorHAnsi"/>
          <w:b/>
        </w:rPr>
      </w:pPr>
      <w:r w:rsidRPr="006C6861">
        <w:rPr>
          <w:rFonts w:cstheme="minorHAnsi"/>
          <w:b/>
        </w:rPr>
        <w:t>Key Collaborators:</w:t>
      </w:r>
      <w:r w:rsidRPr="006C6861">
        <w:rPr>
          <w:rFonts w:cstheme="minorHAnsi"/>
        </w:rPr>
        <w:t xml:space="preserve"> </w:t>
      </w:r>
      <w:r w:rsidR="006C6861" w:rsidRPr="006C6861">
        <w:rPr>
          <w:rFonts w:cstheme="minorHAnsi"/>
        </w:rPr>
        <w:t>Victoria, New South Wales, Queensland</w:t>
      </w:r>
      <w:r w:rsidR="00E827D8">
        <w:rPr>
          <w:rFonts w:cstheme="minorHAnsi"/>
        </w:rPr>
        <w:t>,</w:t>
      </w:r>
      <w:r w:rsidR="006C6861" w:rsidRPr="006C6861">
        <w:rPr>
          <w:rFonts w:cstheme="minorHAnsi"/>
        </w:rPr>
        <w:t xml:space="preserve"> Tasmania</w:t>
      </w:r>
      <w:r w:rsidR="00CF37B8">
        <w:rPr>
          <w:rFonts w:cstheme="minorHAnsi"/>
        </w:rPr>
        <w:t>, Western Australia</w:t>
      </w:r>
    </w:p>
    <w:p w14:paraId="6DB7ABAE" w14:textId="32F5EB22" w:rsidR="00FD1D56" w:rsidRDefault="00FD1D56" w:rsidP="00FD1D56">
      <w:pPr>
        <w:rPr>
          <w:rFonts w:cstheme="minorHAnsi"/>
        </w:rPr>
      </w:pPr>
      <w:r w:rsidRPr="006C6861">
        <w:rPr>
          <w:rFonts w:cstheme="minorHAnsi"/>
          <w:b/>
        </w:rPr>
        <w:t>Timeframe:</w:t>
      </w:r>
      <w:r w:rsidR="006C6861">
        <w:rPr>
          <w:rFonts w:cstheme="minorHAnsi"/>
        </w:rPr>
        <w:t xml:space="preserve"> 2025</w:t>
      </w:r>
    </w:p>
    <w:p w14:paraId="0E9D9F74" w14:textId="77777777" w:rsidR="00E36B40" w:rsidRPr="00663D4B" w:rsidRDefault="00E36B40" w:rsidP="00E36B40">
      <w:pPr>
        <w:pStyle w:val="Heading2"/>
        <w:rPr>
          <w:b/>
        </w:rPr>
      </w:pPr>
      <w:r w:rsidRPr="00663D4B">
        <w:rPr>
          <w:b/>
        </w:rPr>
        <w:t xml:space="preserve">Action 2.4: </w:t>
      </w:r>
      <w:r w:rsidRPr="00663D4B">
        <w:t>Conduct a current and future skills gap analysis for the freight and logistics sector</w:t>
      </w:r>
    </w:p>
    <w:p w14:paraId="4FFAD851" w14:textId="77777777" w:rsidR="00E36B40" w:rsidRPr="00FB2EEA" w:rsidRDefault="00E36B40" w:rsidP="00E36B40">
      <w:pPr>
        <w:spacing w:before="80"/>
        <w:rPr>
          <w:rFonts w:cstheme="minorHAnsi"/>
        </w:rPr>
      </w:pPr>
      <w:r w:rsidRPr="00FB2EEA">
        <w:rPr>
          <w:rFonts w:cstheme="minorHAnsi"/>
          <w:b/>
        </w:rPr>
        <w:t>What we will do:</w:t>
      </w:r>
      <w:r w:rsidRPr="00FB2EEA">
        <w:rPr>
          <w:rFonts w:cstheme="minorHAnsi"/>
        </w:rPr>
        <w:t xml:space="preserve"> Conduct a study on the freight and logistics workforce, identifying the current skills gaps as well as the skill and workforce needs of the future.</w:t>
      </w:r>
    </w:p>
    <w:p w14:paraId="4E7D9F5E" w14:textId="3ACF7432" w:rsidR="00E36B40" w:rsidRPr="00AE6C16" w:rsidRDefault="00E36B40" w:rsidP="00AE6C16">
      <w:pPr>
        <w:spacing w:after="0"/>
        <w:rPr>
          <w:rFonts w:cstheme="minorHAnsi"/>
        </w:rPr>
      </w:pPr>
      <w:r w:rsidRPr="00FB2EEA">
        <w:rPr>
          <w:rFonts w:cstheme="minorHAnsi"/>
          <w:b/>
        </w:rPr>
        <w:t>Why:</w:t>
      </w:r>
      <w:r w:rsidRPr="00FB2EEA">
        <w:rPr>
          <w:rFonts w:cstheme="minorHAnsi"/>
        </w:rPr>
        <w:t xml:space="preserve"> </w:t>
      </w:r>
      <w:r>
        <w:rPr>
          <w:rFonts w:cstheme="minorHAnsi"/>
        </w:rPr>
        <w:t>The skills needs of the freight and logistics sector are diverse. Further, au</w:t>
      </w:r>
      <w:r>
        <w:t>tomation and digitalisation in operationally-intensive areas including warehousing and distribution centres will create challenges and opportunities around the requirements for new digital skills. The introduction of electric, low and zero emissions and autonomous vehicles will also impact the range of skills required for the future logistics sector.</w:t>
      </w:r>
      <w:r>
        <w:rPr>
          <w:rFonts w:cstheme="minorHAnsi"/>
        </w:rPr>
        <w:t xml:space="preserve"> </w:t>
      </w:r>
      <w:r w:rsidRPr="00FB2EEA">
        <w:rPr>
          <w:rFonts w:cstheme="minorHAnsi"/>
        </w:rPr>
        <w:t xml:space="preserve">A better understanding of current and future skills gaps </w:t>
      </w:r>
      <w:r>
        <w:rPr>
          <w:rFonts w:cstheme="minorHAnsi"/>
        </w:rPr>
        <w:t>will</w:t>
      </w:r>
      <w:r w:rsidRPr="00FB2EEA">
        <w:rPr>
          <w:rFonts w:cstheme="minorHAnsi"/>
        </w:rPr>
        <w:t xml:space="preserve"> support workforce planning, policy development and program design for the freight and logistics workforce. This will contribute to a sustainable and resilient workforce of a critical industry.</w:t>
      </w:r>
    </w:p>
    <w:p w14:paraId="19014BEF" w14:textId="34C2D171" w:rsidR="00FD1D56" w:rsidRDefault="00FD1D56" w:rsidP="00FD1D56">
      <w:pPr>
        <w:rPr>
          <w:rFonts w:cstheme="minorHAnsi"/>
        </w:rPr>
      </w:pPr>
      <w:r w:rsidRPr="006C6861">
        <w:rPr>
          <w:rFonts w:cstheme="minorHAnsi"/>
          <w:b/>
        </w:rPr>
        <w:t>Lead:</w:t>
      </w:r>
      <w:r w:rsidR="006C6861">
        <w:rPr>
          <w:rFonts w:cstheme="minorHAnsi"/>
        </w:rPr>
        <w:t xml:space="preserve"> Commonwealth</w:t>
      </w:r>
    </w:p>
    <w:p w14:paraId="61CAC0C0" w14:textId="597E773A" w:rsidR="00FD1D56" w:rsidRPr="006C6861" w:rsidRDefault="00FD1D56" w:rsidP="00FD1D56">
      <w:pPr>
        <w:rPr>
          <w:rFonts w:cstheme="minorHAnsi"/>
          <w:b/>
        </w:rPr>
      </w:pPr>
      <w:r w:rsidRPr="006C6861">
        <w:rPr>
          <w:rFonts w:cstheme="minorHAnsi"/>
          <w:b/>
        </w:rPr>
        <w:t>Key Collaborators:</w:t>
      </w:r>
      <w:r w:rsidR="006C6861">
        <w:rPr>
          <w:rFonts w:cstheme="minorHAnsi"/>
          <w:b/>
        </w:rPr>
        <w:t xml:space="preserve"> </w:t>
      </w:r>
      <w:r w:rsidR="006C6861">
        <w:rPr>
          <w:rFonts w:cstheme="minorHAnsi"/>
        </w:rPr>
        <w:t>Victoria</w:t>
      </w:r>
      <w:r w:rsidRPr="006C6861">
        <w:rPr>
          <w:rFonts w:cstheme="minorHAnsi"/>
          <w:b/>
        </w:rPr>
        <w:t xml:space="preserve"> </w:t>
      </w:r>
    </w:p>
    <w:p w14:paraId="3A51770B" w14:textId="14E78D88" w:rsidR="00FD1D56" w:rsidRDefault="00FD1D56" w:rsidP="00FD1D56">
      <w:pPr>
        <w:rPr>
          <w:rFonts w:cstheme="minorHAnsi"/>
        </w:rPr>
      </w:pPr>
      <w:r w:rsidRPr="006C6861">
        <w:rPr>
          <w:rFonts w:cstheme="minorHAnsi"/>
          <w:b/>
        </w:rPr>
        <w:t>Timeframe:</w:t>
      </w:r>
      <w:r w:rsidR="006C6861">
        <w:rPr>
          <w:rFonts w:cstheme="minorHAnsi"/>
        </w:rPr>
        <w:t xml:space="preserve"> 2026</w:t>
      </w:r>
    </w:p>
    <w:p w14:paraId="4457A5E0" w14:textId="77777777" w:rsidR="00E36B40" w:rsidRDefault="00E36B40">
      <w:pPr>
        <w:suppressAutoHyphens w:val="0"/>
        <w:rPr>
          <w:lang w:val="x-none"/>
        </w:rPr>
      </w:pPr>
      <w:r>
        <w:rPr>
          <w:lang w:val="x-none"/>
        </w:rPr>
        <w:br w:type="page"/>
      </w:r>
    </w:p>
    <w:p w14:paraId="71835C36" w14:textId="77777777" w:rsidR="00E36B40" w:rsidRDefault="00713483" w:rsidP="00E36B40">
      <w:pPr>
        <w:pStyle w:val="Heading1"/>
      </w:pPr>
      <w:bookmarkStart w:id="15" w:name="_Toc174346842"/>
      <w:bookmarkStart w:id="16" w:name="_Toc187333617"/>
      <w:r>
        <w:lastRenderedPageBreak/>
        <w:t xml:space="preserve">3. </w:t>
      </w:r>
      <w:r w:rsidR="00E36B40">
        <w:t>Decarbonisation</w:t>
      </w:r>
      <w:bookmarkEnd w:id="15"/>
      <w:bookmarkEnd w:id="16"/>
    </w:p>
    <w:p w14:paraId="57757BA7" w14:textId="77777777" w:rsidR="00E36B40" w:rsidRDefault="00E36B40" w:rsidP="00E36B40">
      <w:pPr>
        <w:rPr>
          <w:rFonts w:cstheme="minorHAnsi"/>
          <w:bCs/>
        </w:rPr>
      </w:pPr>
      <w:r>
        <w:rPr>
          <w:rFonts w:cstheme="minorHAnsi"/>
          <w:bCs/>
        </w:rPr>
        <w:t>Decarbonising freight and supply chains is an essential part of the Australian Government’s legislated commitment to reduce greenhouse gas emissions to 43% below 2005 levels by 2030 and to achieve net zero emissions by 2050. The Australian transport sector is the third largest source of Australia’s greenhouse gas emissions and without action, will become the largest emitter by 2030. There is a large amount of work going into decarbonising transport and it will be important to ensure freight is considered in this work. The pathway to net zero will be different for each transport mode with varying decarbonisation approaches available. To achieve the decarbonisation of freight and supply chains, Australia will need to ensure this work is coordinated and that low and zero emissions energy sources are both readily available and commercially viable.</w:t>
      </w:r>
    </w:p>
    <w:p w14:paraId="51158F35" w14:textId="0BD65BD1" w:rsidR="00E36B40" w:rsidRPr="00663D4B" w:rsidRDefault="00E36B40" w:rsidP="00713483">
      <w:pPr>
        <w:pStyle w:val="Heading2"/>
        <w:rPr>
          <w:b/>
        </w:rPr>
      </w:pPr>
      <w:r w:rsidRPr="00663D4B">
        <w:rPr>
          <w:b/>
        </w:rPr>
        <w:t xml:space="preserve">Action 3.1: </w:t>
      </w:r>
      <w:r w:rsidRPr="00663D4B">
        <w:t>Develop government and industry frameworks to collaborate on the transition to net zero</w:t>
      </w:r>
    </w:p>
    <w:p w14:paraId="4323C06A" w14:textId="77777777" w:rsidR="00E36B40" w:rsidRDefault="00E36B40" w:rsidP="00E36B40">
      <w:r w:rsidRPr="00FB2EEA">
        <w:rPr>
          <w:rFonts w:cstheme="minorHAnsi"/>
          <w:b/>
        </w:rPr>
        <w:t>What we will do:</w:t>
      </w:r>
      <w:r w:rsidRPr="00FB2EEA">
        <w:rPr>
          <w:rFonts w:cstheme="minorHAnsi"/>
        </w:rPr>
        <w:t xml:space="preserve"> Governments and industry will </w:t>
      </w:r>
      <w:r>
        <w:rPr>
          <w:rFonts w:cstheme="minorHAnsi"/>
        </w:rPr>
        <w:t xml:space="preserve">co-design </w:t>
      </w:r>
      <w:r>
        <w:t xml:space="preserve">frameworks to support the freight and supply chain sector along the journey of transitioning to net zero as part of the Transport and Infrastructure Net Zero Roadmap and Action Plan. Frameworks could include: </w:t>
      </w:r>
    </w:p>
    <w:p w14:paraId="4D998C62" w14:textId="77777777" w:rsidR="00E36B40" w:rsidRDefault="00E36B40" w:rsidP="00E36B40">
      <w:pPr>
        <w:pStyle w:val="ListParagraph"/>
        <w:numPr>
          <w:ilvl w:val="0"/>
          <w:numId w:val="36"/>
        </w:numPr>
        <w:suppressAutoHyphens w:val="0"/>
        <w:spacing w:before="0" w:after="160" w:line="259" w:lineRule="auto"/>
        <w:rPr>
          <w:iCs/>
        </w:rPr>
      </w:pPr>
      <w:r>
        <w:rPr>
          <w:iCs/>
        </w:rPr>
        <w:t>guidance for businesses to transition their heavy vehicle fleets to low and zero emission vehicles</w:t>
      </w:r>
    </w:p>
    <w:p w14:paraId="16AB5855" w14:textId="77777777" w:rsidR="00E36B40" w:rsidRDefault="00E36B40" w:rsidP="00E36B40">
      <w:pPr>
        <w:pStyle w:val="ListParagraph"/>
        <w:numPr>
          <w:ilvl w:val="0"/>
          <w:numId w:val="36"/>
        </w:numPr>
        <w:suppressAutoHyphens w:val="0"/>
        <w:spacing w:before="0" w:after="160" w:line="259" w:lineRule="auto"/>
        <w:rPr>
          <w:iCs/>
        </w:rPr>
      </w:pPr>
      <w:r>
        <w:rPr>
          <w:iCs/>
        </w:rPr>
        <w:t>exploration of barriers to the uptake of low and zero emission freight vehicles and how to remove them</w:t>
      </w:r>
    </w:p>
    <w:p w14:paraId="4668685B" w14:textId="77777777" w:rsidR="00E36B40" w:rsidRDefault="00E36B40" w:rsidP="00E36B40">
      <w:pPr>
        <w:pStyle w:val="ListParagraph"/>
        <w:numPr>
          <w:ilvl w:val="0"/>
          <w:numId w:val="36"/>
        </w:numPr>
        <w:suppressAutoHyphens w:val="0"/>
        <w:spacing w:before="0" w:after="160" w:line="259" w:lineRule="auto"/>
        <w:rPr>
          <w:iCs/>
        </w:rPr>
      </w:pPr>
      <w:r>
        <w:rPr>
          <w:iCs/>
        </w:rPr>
        <w:t xml:space="preserve">consideration of incentives to </w:t>
      </w:r>
      <w:r>
        <w:rPr>
          <w:rFonts w:eastAsia="Times New Roman"/>
        </w:rPr>
        <w:t>aid turnover of older assets</w:t>
      </w:r>
    </w:p>
    <w:p w14:paraId="2E783CBB" w14:textId="77777777" w:rsidR="00E36B40" w:rsidRPr="00BC0275" w:rsidRDefault="00E36B40" w:rsidP="00E36B40">
      <w:pPr>
        <w:pStyle w:val="ListParagraph"/>
        <w:numPr>
          <w:ilvl w:val="0"/>
          <w:numId w:val="36"/>
        </w:numPr>
        <w:suppressAutoHyphens w:val="0"/>
        <w:spacing w:before="0" w:after="160" w:line="259" w:lineRule="auto"/>
        <w:rPr>
          <w:iCs/>
        </w:rPr>
      </w:pPr>
      <w:r>
        <w:rPr>
          <w:rFonts w:eastAsia="Times New Roman"/>
        </w:rPr>
        <w:t xml:space="preserve">facilitation of the development of a </w:t>
      </w:r>
      <w:proofErr w:type="gramStart"/>
      <w:r>
        <w:rPr>
          <w:rFonts w:eastAsia="Times New Roman"/>
        </w:rPr>
        <w:t>voluntary freight awareness rating consumers</w:t>
      </w:r>
      <w:proofErr w:type="gramEnd"/>
      <w:r>
        <w:rPr>
          <w:rFonts w:eastAsia="Times New Roman"/>
        </w:rPr>
        <w:t xml:space="preserve"> can reference to identify deliveries that have a high carbon footprint</w:t>
      </w:r>
    </w:p>
    <w:p w14:paraId="55BEAB52" w14:textId="77777777" w:rsidR="00E36B40" w:rsidRPr="00FB15EB" w:rsidRDefault="00E36B40" w:rsidP="00E36B40">
      <w:pPr>
        <w:pStyle w:val="ListParagraph"/>
        <w:numPr>
          <w:ilvl w:val="0"/>
          <w:numId w:val="36"/>
        </w:numPr>
        <w:suppressAutoHyphens w:val="0"/>
        <w:spacing w:before="0" w:after="160" w:line="259" w:lineRule="auto"/>
        <w:rPr>
          <w:iCs/>
        </w:rPr>
      </w:pPr>
      <w:r>
        <w:rPr>
          <w:iCs/>
        </w:rPr>
        <w:t xml:space="preserve">research to understand </w:t>
      </w:r>
      <w:r>
        <w:rPr>
          <w:rFonts w:eastAsia="Times New Roman"/>
        </w:rPr>
        <w:t>international trends supporting decarbonisation efforts for the freight and supply chain sector</w:t>
      </w:r>
    </w:p>
    <w:p w14:paraId="0EBF5D61" w14:textId="77777777" w:rsidR="00E36B40" w:rsidRPr="0082580C" w:rsidRDefault="00E36B40" w:rsidP="00E36B40">
      <w:pPr>
        <w:pStyle w:val="ListParagraph"/>
        <w:numPr>
          <w:ilvl w:val="0"/>
          <w:numId w:val="36"/>
        </w:numPr>
        <w:suppressAutoHyphens w:val="0"/>
        <w:spacing w:before="0" w:after="160" w:line="256" w:lineRule="auto"/>
        <w:rPr>
          <w:iCs/>
        </w:rPr>
      </w:pPr>
      <w:r>
        <w:rPr>
          <w:iCs/>
        </w:rPr>
        <w:t>consideration of emissions reduction technologies and how to improve their uptake.</w:t>
      </w:r>
    </w:p>
    <w:p w14:paraId="5E6E1DFD" w14:textId="77777777" w:rsidR="00E36B40" w:rsidRPr="0027316E" w:rsidRDefault="00E36B40" w:rsidP="00E36B40">
      <w:pPr>
        <w:rPr>
          <w:iCs/>
        </w:rPr>
      </w:pPr>
      <w:r w:rsidRPr="0027316E">
        <w:rPr>
          <w:rFonts w:cstheme="minorHAnsi"/>
          <w:b/>
        </w:rPr>
        <w:t>Why:</w:t>
      </w:r>
      <w:r w:rsidRPr="0027316E">
        <w:rPr>
          <w:rFonts w:cstheme="minorHAnsi"/>
        </w:rPr>
        <w:t xml:space="preserve"> </w:t>
      </w:r>
      <w:r>
        <w:t xml:space="preserve">There have been calls from industry for governments to develop frameworks to guide the transition to net zero. While significant future work will be done to decarbonise transport, there is a need to consider the specific requirements of the freight sector, particularly the heavy vehicle sector. </w:t>
      </w:r>
    </w:p>
    <w:p w14:paraId="1472022A" w14:textId="6DFC06B0" w:rsidR="00FD1D56" w:rsidRDefault="00FD1D56" w:rsidP="00FD1D56">
      <w:pPr>
        <w:rPr>
          <w:rFonts w:cstheme="minorHAnsi"/>
        </w:rPr>
      </w:pPr>
      <w:r w:rsidRPr="006C6861">
        <w:rPr>
          <w:rFonts w:cstheme="minorHAnsi"/>
          <w:b/>
        </w:rPr>
        <w:t>Lead:</w:t>
      </w:r>
      <w:r w:rsidR="006C6861">
        <w:rPr>
          <w:rFonts w:cstheme="minorHAnsi"/>
        </w:rPr>
        <w:t xml:space="preserve"> Victoria</w:t>
      </w:r>
    </w:p>
    <w:p w14:paraId="74C9CEE9" w14:textId="3AAA71D7" w:rsidR="00FD1D56" w:rsidRDefault="00FD1D56" w:rsidP="00FD1D56">
      <w:pPr>
        <w:rPr>
          <w:rFonts w:cstheme="minorHAnsi"/>
        </w:rPr>
      </w:pPr>
      <w:r w:rsidRPr="006C6861">
        <w:rPr>
          <w:rFonts w:cstheme="minorHAnsi"/>
          <w:b/>
        </w:rPr>
        <w:t>Key Collaborators:</w:t>
      </w:r>
      <w:r w:rsidR="006C6861">
        <w:rPr>
          <w:rFonts w:cstheme="minorHAnsi"/>
        </w:rPr>
        <w:t xml:space="preserve"> All jurisdictions through the Jurisdictional Working Group</w:t>
      </w:r>
    </w:p>
    <w:p w14:paraId="7D13AFAF" w14:textId="69A32F98" w:rsidR="00FD1D56" w:rsidRDefault="00FD1D56" w:rsidP="00FD1D56">
      <w:pPr>
        <w:rPr>
          <w:rFonts w:cstheme="minorHAnsi"/>
        </w:rPr>
      </w:pPr>
      <w:r w:rsidRPr="006C6861">
        <w:rPr>
          <w:rFonts w:cstheme="minorHAnsi"/>
          <w:b/>
        </w:rPr>
        <w:t>Timeframe:</w:t>
      </w:r>
      <w:r w:rsidR="006C6861">
        <w:rPr>
          <w:rFonts w:cstheme="minorHAnsi"/>
        </w:rPr>
        <w:t xml:space="preserve"> 2025 to 2026</w:t>
      </w:r>
    </w:p>
    <w:p w14:paraId="1C162923" w14:textId="77777777" w:rsidR="00E36B40" w:rsidRPr="00663D4B" w:rsidRDefault="00E36B40" w:rsidP="00713483">
      <w:pPr>
        <w:pStyle w:val="Heading2"/>
      </w:pPr>
      <w:r w:rsidRPr="00663D4B">
        <w:rPr>
          <w:b/>
        </w:rPr>
        <w:t>Action 3.2:</w:t>
      </w:r>
      <w:r>
        <w:rPr>
          <w:b/>
        </w:rPr>
        <w:t xml:space="preserve"> </w:t>
      </w:r>
      <w:r w:rsidRPr="00663D4B">
        <w:t>Support development of a domestic low carbon liquid fuels industry</w:t>
      </w:r>
    </w:p>
    <w:p w14:paraId="1934D1E0" w14:textId="77777777" w:rsidR="00E36B40" w:rsidRPr="00FB2EEA" w:rsidRDefault="00E36B40" w:rsidP="00E36B40">
      <w:pPr>
        <w:spacing w:before="80"/>
        <w:rPr>
          <w:rFonts w:cstheme="minorHAnsi"/>
        </w:rPr>
      </w:pPr>
      <w:r w:rsidRPr="00FB2EEA">
        <w:rPr>
          <w:rFonts w:cstheme="minorHAnsi"/>
          <w:b/>
        </w:rPr>
        <w:t>What we will do:</w:t>
      </w:r>
      <w:r w:rsidRPr="00FB2EEA">
        <w:rPr>
          <w:rFonts w:cstheme="minorHAnsi"/>
        </w:rPr>
        <w:t xml:space="preserve"> Support development of a</w:t>
      </w:r>
      <w:r>
        <w:rPr>
          <w:rFonts w:cstheme="minorHAnsi"/>
        </w:rPr>
        <w:t xml:space="preserve"> domestic</w:t>
      </w:r>
      <w:r w:rsidRPr="00FB2EEA">
        <w:rPr>
          <w:rFonts w:cstheme="minorHAnsi"/>
        </w:rPr>
        <w:t xml:space="preserve"> low carbon liquid fuels (LCLF) industry in Australia</w:t>
      </w:r>
      <w:r>
        <w:rPr>
          <w:rFonts w:cstheme="minorHAnsi"/>
        </w:rPr>
        <w:t>. Initially this will include</w:t>
      </w:r>
      <w:r w:rsidRPr="00FB2EEA">
        <w:rPr>
          <w:rFonts w:cstheme="minorHAnsi"/>
        </w:rPr>
        <w:t xml:space="preserve"> a consultation program to investigate incentives to support production and demand for LCLF, and development of a LCLF certification scheme.</w:t>
      </w:r>
    </w:p>
    <w:p w14:paraId="7C40E741" w14:textId="759A8B01" w:rsidR="00AE6C16" w:rsidRDefault="00E36B40" w:rsidP="00AE6C16">
      <w:r w:rsidRPr="00FB2EEA">
        <w:rPr>
          <w:rFonts w:cstheme="minorHAnsi"/>
          <w:b/>
        </w:rPr>
        <w:t>Why:</w:t>
      </w:r>
      <w:r w:rsidRPr="00FB2EEA">
        <w:rPr>
          <w:rFonts w:cstheme="minorHAnsi"/>
        </w:rPr>
        <w:t xml:space="preserve"> </w:t>
      </w:r>
      <w:r>
        <w:t>Today, Australia relies on liquid fuels for more than half of our final energy demand and transport accounts for around 70 per cent of Australia’s consumption of refined liquid fuel products. As Australia transitions to a net zero economy, there will still be a reliance on liquid fuel for many sectors and modes of transport</w:t>
      </w:r>
      <w:r w:rsidRPr="00FB2EEA">
        <w:rPr>
          <w:rFonts w:cstheme="minorHAnsi"/>
        </w:rPr>
        <w:t xml:space="preserve">. Low carbon liquid fuels offer </w:t>
      </w:r>
      <w:r>
        <w:rPr>
          <w:rFonts w:cstheme="minorHAnsi"/>
        </w:rPr>
        <w:t>a complementary</w:t>
      </w:r>
      <w:r w:rsidRPr="00FB2EEA">
        <w:rPr>
          <w:rFonts w:cstheme="minorHAnsi"/>
        </w:rPr>
        <w:t xml:space="preserve"> decarbonisation pathway for these sectors</w:t>
      </w:r>
      <w:r>
        <w:rPr>
          <w:rFonts w:cstheme="minorHAnsi"/>
        </w:rPr>
        <w:t>, alongside electrification and renewable hydrogen</w:t>
      </w:r>
      <w:r w:rsidRPr="00FB2EEA">
        <w:rPr>
          <w:rFonts w:cstheme="minorHAnsi"/>
        </w:rPr>
        <w:t>.</w:t>
      </w:r>
    </w:p>
    <w:p w14:paraId="57CBDF3C" w14:textId="77777777" w:rsidR="00FD1D56" w:rsidRDefault="00FD1D56" w:rsidP="00FD1D56">
      <w:pPr>
        <w:rPr>
          <w:rFonts w:cstheme="minorHAnsi"/>
        </w:rPr>
      </w:pPr>
      <w:r w:rsidRPr="00FA3662">
        <w:rPr>
          <w:rFonts w:cstheme="minorHAnsi"/>
          <w:b/>
        </w:rPr>
        <w:t>Lead:</w:t>
      </w:r>
      <w:r>
        <w:rPr>
          <w:rFonts w:cstheme="minorHAnsi"/>
        </w:rPr>
        <w:t xml:space="preserve"> Commonwealth</w:t>
      </w:r>
    </w:p>
    <w:p w14:paraId="433FE760" w14:textId="40C5D2B3" w:rsidR="00FD1D56" w:rsidRDefault="00FD1D56" w:rsidP="00FD1D56">
      <w:pPr>
        <w:rPr>
          <w:rFonts w:cstheme="minorHAnsi"/>
        </w:rPr>
      </w:pPr>
      <w:r w:rsidRPr="00FA3662">
        <w:rPr>
          <w:rFonts w:cstheme="minorHAnsi"/>
          <w:b/>
        </w:rPr>
        <w:lastRenderedPageBreak/>
        <w:t>Key Collaborators:</w:t>
      </w:r>
      <w:r w:rsidR="00FA3662">
        <w:rPr>
          <w:rFonts w:cstheme="minorHAnsi"/>
        </w:rPr>
        <w:t xml:space="preserve"> Nil – links with Action 3.1</w:t>
      </w:r>
    </w:p>
    <w:p w14:paraId="059C1AE8" w14:textId="3C5BBCD4" w:rsidR="00FD1D56" w:rsidRDefault="00FD1D56" w:rsidP="00FD1D56">
      <w:pPr>
        <w:rPr>
          <w:rFonts w:cstheme="minorHAnsi"/>
        </w:rPr>
      </w:pPr>
      <w:r w:rsidRPr="00FA3662">
        <w:rPr>
          <w:rFonts w:cstheme="minorHAnsi"/>
          <w:b/>
        </w:rPr>
        <w:t>Timeframe:</w:t>
      </w:r>
      <w:r w:rsidR="00FA3662">
        <w:rPr>
          <w:rFonts w:cstheme="minorHAnsi"/>
        </w:rPr>
        <w:t xml:space="preserve"> Ongoing</w:t>
      </w:r>
    </w:p>
    <w:p w14:paraId="62A9AE1E" w14:textId="71D8961F" w:rsidR="00E36B40" w:rsidRPr="00AE6C16" w:rsidRDefault="00AE6C16" w:rsidP="00AE6C16">
      <w:pPr>
        <w:pStyle w:val="Heading2"/>
        <w:rPr>
          <w:rFonts w:cstheme="minorHAnsi"/>
          <w:color w:val="000000" w:themeColor="text1"/>
          <w:sz w:val="22"/>
        </w:rPr>
      </w:pPr>
      <w:r>
        <w:rPr>
          <w:b/>
        </w:rPr>
        <w:t xml:space="preserve">Action </w:t>
      </w:r>
      <w:r w:rsidR="00E36B40" w:rsidRPr="00663D4B">
        <w:rPr>
          <w:b/>
        </w:rPr>
        <w:t xml:space="preserve">3.3: </w:t>
      </w:r>
      <w:r w:rsidR="00E36B40" w:rsidRPr="00663D4B">
        <w:t xml:space="preserve">Conduct </w:t>
      </w:r>
      <w:r w:rsidR="00E36B40">
        <w:t xml:space="preserve">safety </w:t>
      </w:r>
      <w:r w:rsidR="00E36B40" w:rsidRPr="00663D4B">
        <w:t>research on batter</w:t>
      </w:r>
      <w:r w:rsidR="00E36B40">
        <w:t>ies</w:t>
      </w:r>
      <w:r w:rsidR="00E36B40" w:rsidRPr="00663D4B">
        <w:t xml:space="preserve"> </w:t>
      </w:r>
      <w:r w:rsidR="00E36B40">
        <w:t>and zero emission power technologies</w:t>
      </w:r>
      <w:r w:rsidR="00E36B40" w:rsidRPr="00663D4B">
        <w:t xml:space="preserve"> for freight vehicles and locomotives</w:t>
      </w:r>
    </w:p>
    <w:p w14:paraId="5B8C7929" w14:textId="38219735" w:rsidR="00E36B40" w:rsidRDefault="00E36B40" w:rsidP="00E36B40">
      <w:pPr>
        <w:spacing w:before="80" w:line="252" w:lineRule="auto"/>
      </w:pPr>
      <w:r>
        <w:rPr>
          <w:b/>
          <w:bCs/>
        </w:rPr>
        <w:t>What we will do:</w:t>
      </w:r>
      <w:r>
        <w:t xml:space="preserve"> Undertake national and international research on zero emission power technologies for road and rail</w:t>
      </w:r>
      <w:r w:rsidR="00A3668F">
        <w:t>,</w:t>
      </w:r>
      <w:r>
        <w:t xml:space="preserve"> with a safety focus</w:t>
      </w:r>
      <w:r w:rsidR="00A3668F">
        <w:t>,</w:t>
      </w:r>
      <w:r>
        <w:t xml:space="preserve"> to support the freight and logistics sector transition to net zero. The research could consider the safety aspects of:</w:t>
      </w:r>
    </w:p>
    <w:p w14:paraId="3710F981" w14:textId="77777777" w:rsidR="00E36B40" w:rsidRDefault="00E36B40" w:rsidP="00E36B40">
      <w:pPr>
        <w:numPr>
          <w:ilvl w:val="0"/>
          <w:numId w:val="37"/>
        </w:numPr>
        <w:suppressAutoHyphens w:val="0"/>
        <w:spacing w:before="0" w:after="0" w:line="252" w:lineRule="auto"/>
        <w:rPr>
          <w:rFonts w:eastAsia="Times New Roman"/>
        </w:rPr>
      </w:pPr>
      <w:r>
        <w:rPr>
          <w:rFonts w:eastAsia="Times New Roman"/>
        </w:rPr>
        <w:t xml:space="preserve">post-incident recovery processes and inspections </w:t>
      </w:r>
    </w:p>
    <w:p w14:paraId="21409B03" w14:textId="77777777" w:rsidR="00E36B40" w:rsidRDefault="00E36B40" w:rsidP="00E36B40">
      <w:pPr>
        <w:numPr>
          <w:ilvl w:val="0"/>
          <w:numId w:val="37"/>
        </w:numPr>
        <w:suppressAutoHyphens w:val="0"/>
        <w:spacing w:before="0" w:after="0" w:line="252" w:lineRule="auto"/>
        <w:rPr>
          <w:rFonts w:eastAsia="Times New Roman"/>
        </w:rPr>
      </w:pPr>
      <w:r>
        <w:rPr>
          <w:rFonts w:eastAsia="Times New Roman"/>
        </w:rPr>
        <w:t>lifecycle inspections and maintenance</w:t>
      </w:r>
    </w:p>
    <w:p w14:paraId="46879110" w14:textId="77777777" w:rsidR="00E36B40" w:rsidRDefault="00E36B40" w:rsidP="00E36B40">
      <w:pPr>
        <w:numPr>
          <w:ilvl w:val="0"/>
          <w:numId w:val="37"/>
        </w:numPr>
        <w:suppressAutoHyphens w:val="0"/>
        <w:spacing w:before="0" w:after="0" w:line="252" w:lineRule="auto"/>
        <w:rPr>
          <w:rFonts w:eastAsia="Times New Roman"/>
        </w:rPr>
      </w:pPr>
      <w:r>
        <w:rPr>
          <w:rFonts w:eastAsia="Times New Roman"/>
        </w:rPr>
        <w:t>best practice infrastructure design, such as intermodal terminals, including storage and powering/refuelling facilities</w:t>
      </w:r>
    </w:p>
    <w:p w14:paraId="59D4FDE2" w14:textId="55C04EDB" w:rsidR="00E36B40" w:rsidRDefault="00E36B40" w:rsidP="00E36B40">
      <w:pPr>
        <w:numPr>
          <w:ilvl w:val="0"/>
          <w:numId w:val="37"/>
        </w:numPr>
        <w:suppressAutoHyphens w:val="0"/>
        <w:spacing w:before="0" w:after="160" w:line="252" w:lineRule="auto"/>
        <w:rPr>
          <w:rFonts w:eastAsia="Times New Roman"/>
        </w:rPr>
      </w:pPr>
      <w:r>
        <w:rPr>
          <w:rFonts w:eastAsia="Times New Roman"/>
        </w:rPr>
        <w:t>new and emerging zero emission power technologies</w:t>
      </w:r>
      <w:r w:rsidR="007C4CF6">
        <w:rPr>
          <w:rFonts w:eastAsia="Times New Roman"/>
        </w:rPr>
        <w:t>.</w:t>
      </w:r>
    </w:p>
    <w:p w14:paraId="5B1CB698" w14:textId="62DBA0F7" w:rsidR="00E36B40" w:rsidRDefault="00E36B40" w:rsidP="00E36B40">
      <w:pPr>
        <w:spacing w:after="240" w:line="252" w:lineRule="auto"/>
      </w:pPr>
      <w:r>
        <w:rPr>
          <w:b/>
          <w:bCs/>
        </w:rPr>
        <w:t xml:space="preserve">Why: </w:t>
      </w:r>
      <w:r>
        <w:t>While there is a lot of work related to heavy vehicle and rail safety in other national bodies of work, an emerging area that could benefit from additional research is around the safety of batteries and other zero emission power technologies. In particular, understanding the unique features of these technologies compared to conventional engines. It is recognised this is an emerging space that is being informed by international experience, local trials and the operation of zero emission power technologies on the transport network. It is also recognised that the adoption rate of different types of zero emission power technologies, such as battery and hydrogen, are at different stages for both road and rail. This research could provide an evidence</w:t>
      </w:r>
      <w:r w:rsidR="00A3668F">
        <w:t xml:space="preserve"> </w:t>
      </w:r>
      <w:r>
        <w:t>base to support government and industry in making the transition to net zero emissions.</w:t>
      </w:r>
    </w:p>
    <w:p w14:paraId="2000E6FF" w14:textId="7486EDF1" w:rsidR="00FD1D56" w:rsidRPr="00FA3662" w:rsidRDefault="00FD1D56" w:rsidP="00FD1D56">
      <w:pPr>
        <w:rPr>
          <w:rFonts w:cstheme="minorHAnsi"/>
        </w:rPr>
      </w:pPr>
      <w:r w:rsidRPr="00FA3662">
        <w:rPr>
          <w:rFonts w:cstheme="minorHAnsi"/>
          <w:b/>
        </w:rPr>
        <w:t>Lead:</w:t>
      </w:r>
      <w:r w:rsidR="00FA3662">
        <w:rPr>
          <w:rFonts w:cstheme="minorHAnsi"/>
        </w:rPr>
        <w:t xml:space="preserve"> Commonwealth </w:t>
      </w:r>
    </w:p>
    <w:p w14:paraId="5DAA7650" w14:textId="0D83ACCA" w:rsidR="00FD1D56" w:rsidRPr="00FA3662" w:rsidRDefault="00FD1D56" w:rsidP="00FD1D56">
      <w:pPr>
        <w:rPr>
          <w:rFonts w:cstheme="minorHAnsi"/>
        </w:rPr>
      </w:pPr>
      <w:r w:rsidRPr="00FA3662">
        <w:rPr>
          <w:rFonts w:cstheme="minorHAnsi"/>
          <w:b/>
        </w:rPr>
        <w:t>Key Collaborators:</w:t>
      </w:r>
      <w:r w:rsidR="00FA3662">
        <w:rPr>
          <w:rFonts w:cstheme="minorHAnsi"/>
          <w:b/>
        </w:rPr>
        <w:t xml:space="preserve"> </w:t>
      </w:r>
      <w:r w:rsidR="00FA3662">
        <w:rPr>
          <w:rFonts w:cstheme="minorHAnsi"/>
        </w:rPr>
        <w:t>New South Wales</w:t>
      </w:r>
      <w:r w:rsidR="004F0E4D">
        <w:rPr>
          <w:rFonts w:cstheme="minorHAnsi"/>
        </w:rPr>
        <w:t>, Victoria</w:t>
      </w:r>
    </w:p>
    <w:p w14:paraId="6F89C54F" w14:textId="7CD612EE" w:rsidR="00FD1D56" w:rsidRPr="001E18DA" w:rsidRDefault="00FD1D56" w:rsidP="00FD1D56">
      <w:pPr>
        <w:rPr>
          <w:rFonts w:cstheme="minorHAnsi"/>
        </w:rPr>
      </w:pPr>
      <w:r w:rsidRPr="00FA3662">
        <w:rPr>
          <w:rFonts w:cstheme="minorHAnsi"/>
          <w:b/>
        </w:rPr>
        <w:t>Timeframe:</w:t>
      </w:r>
      <w:r w:rsidR="001E18DA">
        <w:rPr>
          <w:rFonts w:cstheme="minorHAnsi"/>
        </w:rPr>
        <w:t xml:space="preserve"> 2025 to 2026</w:t>
      </w:r>
    </w:p>
    <w:p w14:paraId="7795C9D8" w14:textId="3787B5EF" w:rsidR="00E36B40" w:rsidRPr="00A00EE5" w:rsidRDefault="00E36B40" w:rsidP="004841B4">
      <w:pPr>
        <w:rPr>
          <w:lang w:val="x-none"/>
        </w:rPr>
      </w:pPr>
    </w:p>
    <w:p w14:paraId="486D617F" w14:textId="77777777" w:rsidR="00E36B40" w:rsidRDefault="00E36B40">
      <w:pPr>
        <w:suppressAutoHyphens w:val="0"/>
        <w:rPr>
          <w:lang w:val="x-none"/>
        </w:rPr>
      </w:pPr>
      <w:r>
        <w:rPr>
          <w:lang w:val="x-none"/>
        </w:rPr>
        <w:br w:type="page"/>
      </w:r>
    </w:p>
    <w:p w14:paraId="2742330F" w14:textId="77777777" w:rsidR="00713483" w:rsidRDefault="00713483" w:rsidP="00713483">
      <w:pPr>
        <w:pStyle w:val="Heading1"/>
      </w:pPr>
      <w:bookmarkStart w:id="17" w:name="_Toc187333618"/>
      <w:bookmarkEnd w:id="9"/>
      <w:bookmarkEnd w:id="10"/>
      <w:r>
        <w:lastRenderedPageBreak/>
        <w:t>4. Data</w:t>
      </w:r>
      <w:bookmarkEnd w:id="17"/>
    </w:p>
    <w:p w14:paraId="31AD8BD6" w14:textId="77777777" w:rsidR="00713483" w:rsidRPr="000A695B" w:rsidRDefault="00713483" w:rsidP="00713483">
      <w:pPr>
        <w:rPr>
          <w:rFonts w:ascii="Times New Roman" w:hAnsi="Times New Roman" w:cs="Times New Roman"/>
          <w:sz w:val="24"/>
          <w:szCs w:val="24"/>
          <w:lang w:eastAsia="en-AU"/>
        </w:rPr>
      </w:pPr>
      <w:r>
        <w:t xml:space="preserve">Data is essential for good policy development, well-informed infrastructure investment and program design. The National Freight Data Hub (NFDH) has laid a solid foundation to build Australia’s freight data capability. However, there are numerous datasets with common characteristics that are not comparable across the freight network without harmonisation. </w:t>
      </w:r>
      <w:r w:rsidRPr="00207B02">
        <w:t xml:space="preserve">The NFDH </w:t>
      </w:r>
      <w:r w:rsidRPr="005B4E5B">
        <w:t xml:space="preserve">will continue </w:t>
      </w:r>
      <w:r>
        <w:t>in</w:t>
      </w:r>
      <w:r w:rsidRPr="005B4E5B">
        <w:t xml:space="preserve"> partnership with states and territories, regulators and industry to lead the modernisation of data at a national level</w:t>
      </w:r>
      <w:r>
        <w:t xml:space="preserve">. Greater data sharing and improving the visibility of data will be a critical part of this process and can only be achieved with the collaboration of industry. </w:t>
      </w:r>
    </w:p>
    <w:p w14:paraId="69DA4BDC" w14:textId="45D93566" w:rsidR="00713483" w:rsidRPr="00663D4B" w:rsidRDefault="00713483" w:rsidP="00713483">
      <w:pPr>
        <w:pStyle w:val="Heading2"/>
        <w:rPr>
          <w:b/>
        </w:rPr>
      </w:pPr>
      <w:r w:rsidRPr="00663D4B">
        <w:rPr>
          <w:b/>
        </w:rPr>
        <w:t xml:space="preserve">Action 4.1: </w:t>
      </w:r>
      <w:r w:rsidRPr="00663D4B">
        <w:t>Develop a data development plan to support the National Freight Data Hub</w:t>
      </w:r>
    </w:p>
    <w:p w14:paraId="769D1CD2" w14:textId="77777777" w:rsidR="00713483" w:rsidRPr="00FB2EEA" w:rsidRDefault="00713483" w:rsidP="00713483">
      <w:pPr>
        <w:spacing w:before="80"/>
        <w:rPr>
          <w:rFonts w:cstheme="minorHAnsi"/>
        </w:rPr>
      </w:pPr>
      <w:r w:rsidRPr="00FB2EEA">
        <w:rPr>
          <w:rFonts w:cstheme="minorHAnsi"/>
          <w:b/>
        </w:rPr>
        <w:t>What we will do:</w:t>
      </w:r>
      <w:r w:rsidRPr="00FB2EEA">
        <w:rPr>
          <w:rFonts w:cstheme="minorHAnsi"/>
        </w:rPr>
        <w:t xml:space="preserve"> Create a data development plan for the </w:t>
      </w:r>
      <w:r>
        <w:rPr>
          <w:rFonts w:cstheme="minorHAnsi"/>
        </w:rPr>
        <w:t>NFDH</w:t>
      </w:r>
      <w:r w:rsidRPr="00FB2EEA">
        <w:rPr>
          <w:rFonts w:cstheme="minorHAnsi"/>
        </w:rPr>
        <w:t xml:space="preserve">. The plan will outline </w:t>
      </w:r>
      <w:r w:rsidRPr="005B4E5B">
        <w:rPr>
          <w:rFonts w:cstheme="minorHAnsi"/>
        </w:rPr>
        <w:t xml:space="preserve">the prioritisation of the </w:t>
      </w:r>
      <w:r>
        <w:rPr>
          <w:rFonts w:cstheme="minorHAnsi"/>
        </w:rPr>
        <w:t>Strategy’s</w:t>
      </w:r>
      <w:r w:rsidRPr="005B4E5B">
        <w:rPr>
          <w:rFonts w:cstheme="minorHAnsi"/>
        </w:rPr>
        <w:t xml:space="preserve"> data requirement for harmonisation of the data related to the national networks, in both its condition and usage.</w:t>
      </w:r>
    </w:p>
    <w:p w14:paraId="0467A5B2" w14:textId="77777777" w:rsidR="00713483" w:rsidRPr="000A695B" w:rsidRDefault="00713483" w:rsidP="00713483">
      <w:pPr>
        <w:rPr>
          <w:rFonts w:ascii="Times New Roman" w:hAnsi="Times New Roman" w:cs="Times New Roman"/>
          <w:sz w:val="24"/>
          <w:szCs w:val="24"/>
          <w:lang w:eastAsia="en-AU"/>
        </w:rPr>
      </w:pPr>
      <w:r w:rsidRPr="00FB2EEA">
        <w:rPr>
          <w:rFonts w:cstheme="minorHAnsi"/>
          <w:b/>
        </w:rPr>
        <w:t>Why:</w:t>
      </w:r>
      <w:r w:rsidRPr="00FB2EEA">
        <w:rPr>
          <w:rFonts w:cstheme="minorHAnsi"/>
        </w:rPr>
        <w:t xml:space="preserve"> </w:t>
      </w:r>
      <w:r w:rsidRPr="00FB2EEA">
        <w:rPr>
          <w:rFonts w:cstheme="minorHAnsi"/>
          <w:szCs w:val="24"/>
        </w:rPr>
        <w:t xml:space="preserve">The Review found that the NFDH was an important start to improving freight data. A data development plan will </w:t>
      </w:r>
      <w:r>
        <w:t>detail where and what data is of significance and how the NFDH will continue to support Industry with this information.</w:t>
      </w:r>
    </w:p>
    <w:p w14:paraId="364EAF4A" w14:textId="77777777" w:rsidR="00FD1D56" w:rsidRPr="00FA3662" w:rsidRDefault="00FD1D56" w:rsidP="00FD1D56">
      <w:pPr>
        <w:rPr>
          <w:rFonts w:cstheme="minorHAnsi"/>
          <w:b/>
        </w:rPr>
      </w:pPr>
      <w:r w:rsidRPr="00FA3662">
        <w:rPr>
          <w:rFonts w:cstheme="minorHAnsi"/>
          <w:b/>
        </w:rPr>
        <w:t>Lead:</w:t>
      </w:r>
      <w:r w:rsidRPr="00FA3662">
        <w:rPr>
          <w:rFonts w:cstheme="minorHAnsi"/>
        </w:rPr>
        <w:t xml:space="preserve"> Commonwealth</w:t>
      </w:r>
    </w:p>
    <w:p w14:paraId="03A76FF2" w14:textId="185F777D" w:rsidR="00FD1D56" w:rsidRPr="00FA3662" w:rsidRDefault="00FD1D56" w:rsidP="00FD1D56">
      <w:pPr>
        <w:rPr>
          <w:rFonts w:cstheme="minorHAnsi"/>
        </w:rPr>
      </w:pPr>
      <w:r w:rsidRPr="00FA3662">
        <w:rPr>
          <w:rFonts w:cstheme="minorHAnsi"/>
          <w:b/>
        </w:rPr>
        <w:t>Key Collaborators:</w:t>
      </w:r>
      <w:r w:rsidR="00FA3662">
        <w:rPr>
          <w:rFonts w:cstheme="minorHAnsi"/>
          <w:b/>
        </w:rPr>
        <w:t xml:space="preserve"> </w:t>
      </w:r>
      <w:r w:rsidR="00FA3662">
        <w:rPr>
          <w:rFonts w:cstheme="minorHAnsi"/>
        </w:rPr>
        <w:t>New South Wales, Queensland, Victoria</w:t>
      </w:r>
      <w:r w:rsidR="00671A22">
        <w:rPr>
          <w:rFonts w:cstheme="minorHAnsi"/>
        </w:rPr>
        <w:t>, South Australia</w:t>
      </w:r>
    </w:p>
    <w:p w14:paraId="497E4405" w14:textId="4120D6FE" w:rsidR="00FD1D56" w:rsidRDefault="00FD1D56" w:rsidP="00FD1D56">
      <w:pPr>
        <w:rPr>
          <w:rFonts w:cstheme="minorHAnsi"/>
        </w:rPr>
      </w:pPr>
      <w:r w:rsidRPr="00FA3662">
        <w:rPr>
          <w:rFonts w:cstheme="minorHAnsi"/>
          <w:b/>
        </w:rPr>
        <w:t>Timeframe:</w:t>
      </w:r>
      <w:r w:rsidR="006C6861">
        <w:rPr>
          <w:rFonts w:cstheme="minorHAnsi"/>
        </w:rPr>
        <w:t xml:space="preserve"> 2025 to 2026</w:t>
      </w:r>
    </w:p>
    <w:p w14:paraId="174C4574" w14:textId="1821C90F" w:rsidR="00713483" w:rsidRPr="00663D4B" w:rsidRDefault="00713483" w:rsidP="00713483">
      <w:pPr>
        <w:pStyle w:val="Heading2"/>
        <w:rPr>
          <w:b/>
        </w:rPr>
      </w:pPr>
      <w:r w:rsidRPr="00663D4B">
        <w:rPr>
          <w:b/>
        </w:rPr>
        <w:t xml:space="preserve">Action 4.2: </w:t>
      </w:r>
      <w:r w:rsidRPr="00663D4B">
        <w:t>Quantify the economic significance of the supply chain and freight logistics industry to Australia</w:t>
      </w:r>
    </w:p>
    <w:p w14:paraId="641137EC" w14:textId="5DC7D7F9" w:rsidR="00713483" w:rsidRPr="00575CB6" w:rsidRDefault="00713483" w:rsidP="00713483">
      <w:pPr>
        <w:spacing w:before="80"/>
        <w:rPr>
          <w:rFonts w:cstheme="minorHAnsi"/>
        </w:rPr>
      </w:pPr>
      <w:r w:rsidRPr="00575CB6">
        <w:rPr>
          <w:rFonts w:cstheme="minorHAnsi"/>
          <w:b/>
        </w:rPr>
        <w:t>What we will do:</w:t>
      </w:r>
      <w:r w:rsidRPr="00575CB6">
        <w:rPr>
          <w:rFonts w:cstheme="minorHAnsi"/>
        </w:rPr>
        <w:t xml:space="preserve"> Undertake research to accurately quantify the value of the supply chain and freight logistics sector to the Australian economy.</w:t>
      </w:r>
      <w:r>
        <w:rPr>
          <w:rFonts w:cstheme="minorHAnsi"/>
        </w:rPr>
        <w:t xml:space="preserve"> </w:t>
      </w:r>
      <w:r>
        <w:t>The research could produce data, analytics and insights which could be used for national awareness building. The purpose of the research would be to provide a meaningful and accessible overview of this industry's contribution to the overall health and wellbeing of the Australian economy, and an evidence bas</w:t>
      </w:r>
      <w:r w:rsidR="00A3668F">
        <w:t>e</w:t>
      </w:r>
      <w:r>
        <w:t xml:space="preserve"> to accurately address challenges.</w:t>
      </w:r>
    </w:p>
    <w:p w14:paraId="039B4F33" w14:textId="77777777" w:rsidR="00713483" w:rsidRDefault="00713483" w:rsidP="00713483">
      <w:pPr>
        <w:rPr>
          <w:rFonts w:cstheme="minorHAnsi"/>
        </w:rPr>
      </w:pPr>
      <w:r w:rsidRPr="00575CB6">
        <w:rPr>
          <w:rFonts w:cstheme="minorHAnsi"/>
          <w:b/>
        </w:rPr>
        <w:t>Why:</w:t>
      </w:r>
      <w:r w:rsidRPr="00575CB6">
        <w:rPr>
          <w:rFonts w:cstheme="minorHAnsi"/>
        </w:rPr>
        <w:t xml:space="preserve"> The significance of the broader supply chain and freight logistics industry to the Australian economy is largely unknown and unrecognised by Australian communities. </w:t>
      </w:r>
      <w:r>
        <w:rPr>
          <w:rFonts w:cstheme="minorHAnsi"/>
        </w:rPr>
        <w:t>Closing this evidence gap will make</w:t>
      </w:r>
      <w:r w:rsidRPr="00575CB6">
        <w:rPr>
          <w:rFonts w:cstheme="minorHAnsi"/>
        </w:rPr>
        <w:t xml:space="preserve"> national strategic planning and investment</w:t>
      </w:r>
      <w:r>
        <w:rPr>
          <w:rFonts w:cstheme="minorHAnsi"/>
        </w:rPr>
        <w:t xml:space="preserve"> more effective</w:t>
      </w:r>
      <w:r w:rsidRPr="00575CB6">
        <w:rPr>
          <w:rFonts w:cstheme="minorHAnsi"/>
        </w:rPr>
        <w:t>. The research could also produce data, analytics and insights which could be used for national awareness</w:t>
      </w:r>
      <w:r>
        <w:rPr>
          <w:rFonts w:cstheme="minorHAnsi"/>
        </w:rPr>
        <w:t xml:space="preserve"> </w:t>
      </w:r>
      <w:r w:rsidRPr="00575CB6">
        <w:rPr>
          <w:rFonts w:cstheme="minorHAnsi"/>
        </w:rPr>
        <w:t>building.</w:t>
      </w:r>
    </w:p>
    <w:p w14:paraId="4627D44F" w14:textId="45B1E9E3" w:rsidR="00FD1D56" w:rsidRPr="00FA3662" w:rsidRDefault="00FD1D56" w:rsidP="00FD1D56">
      <w:pPr>
        <w:rPr>
          <w:rFonts w:cstheme="minorHAnsi"/>
        </w:rPr>
      </w:pPr>
      <w:r w:rsidRPr="00FA3662">
        <w:rPr>
          <w:rFonts w:cstheme="minorHAnsi"/>
          <w:b/>
        </w:rPr>
        <w:t>Lead:</w:t>
      </w:r>
      <w:r w:rsidR="00FA3662">
        <w:rPr>
          <w:rFonts w:cstheme="minorHAnsi"/>
          <w:b/>
        </w:rPr>
        <w:t xml:space="preserve"> </w:t>
      </w:r>
      <w:r w:rsidR="00FA3662">
        <w:rPr>
          <w:rFonts w:cstheme="minorHAnsi"/>
        </w:rPr>
        <w:t>New South Wales</w:t>
      </w:r>
    </w:p>
    <w:p w14:paraId="0108BA29" w14:textId="7A22B973" w:rsidR="00FD1D56" w:rsidRPr="00FA3662" w:rsidRDefault="00FD1D56" w:rsidP="00FD1D56">
      <w:pPr>
        <w:rPr>
          <w:rFonts w:cstheme="minorHAnsi"/>
        </w:rPr>
      </w:pPr>
      <w:r w:rsidRPr="00FA3662">
        <w:rPr>
          <w:rFonts w:cstheme="minorHAnsi"/>
          <w:b/>
        </w:rPr>
        <w:t>Key Collaborators:</w:t>
      </w:r>
      <w:r w:rsidR="00FA3662">
        <w:rPr>
          <w:rFonts w:cstheme="minorHAnsi"/>
          <w:b/>
        </w:rPr>
        <w:t xml:space="preserve"> </w:t>
      </w:r>
      <w:r w:rsidR="00FA3662">
        <w:rPr>
          <w:rFonts w:cstheme="minorHAnsi"/>
        </w:rPr>
        <w:t>All jurisdictions through the Jurisdictional Working Group</w:t>
      </w:r>
    </w:p>
    <w:p w14:paraId="46DA7A1B" w14:textId="49DE5C61" w:rsidR="00FD1D56" w:rsidRDefault="00FD1D56" w:rsidP="00FD1D56">
      <w:pPr>
        <w:rPr>
          <w:rFonts w:cstheme="minorHAnsi"/>
        </w:rPr>
      </w:pPr>
      <w:r w:rsidRPr="00FA3662">
        <w:rPr>
          <w:rFonts w:cstheme="minorHAnsi"/>
          <w:b/>
        </w:rPr>
        <w:t>Timeframe:</w:t>
      </w:r>
      <w:r w:rsidR="006C6861">
        <w:rPr>
          <w:rFonts w:cstheme="minorHAnsi"/>
        </w:rPr>
        <w:t xml:space="preserve"> 2025</w:t>
      </w:r>
    </w:p>
    <w:p w14:paraId="783A11AB" w14:textId="77777777" w:rsidR="00713483" w:rsidRPr="00663D4B" w:rsidRDefault="00713483" w:rsidP="00713483">
      <w:pPr>
        <w:pStyle w:val="Heading2"/>
        <w:rPr>
          <w:b/>
        </w:rPr>
      </w:pPr>
      <w:r>
        <w:rPr>
          <w:b/>
        </w:rPr>
        <w:br/>
      </w:r>
      <w:r w:rsidRPr="00663D4B">
        <w:rPr>
          <w:b/>
        </w:rPr>
        <w:t xml:space="preserve">Action 4.3: </w:t>
      </w:r>
      <w:r w:rsidRPr="00663D4B">
        <w:t>Develop additional key performance measures for future inclusion in the Strategy</w:t>
      </w:r>
    </w:p>
    <w:p w14:paraId="66C4CB86" w14:textId="77777777" w:rsidR="00713483" w:rsidRDefault="00713483" w:rsidP="00713483">
      <w:pPr>
        <w:spacing w:before="80"/>
        <w:rPr>
          <w:rFonts w:cstheme="minorHAnsi"/>
        </w:rPr>
      </w:pPr>
      <w:r w:rsidRPr="00575CB6">
        <w:rPr>
          <w:rFonts w:cstheme="minorHAnsi"/>
          <w:b/>
        </w:rPr>
        <w:t>What we will do:</w:t>
      </w:r>
      <w:r w:rsidRPr="00575CB6">
        <w:rPr>
          <w:rFonts w:cstheme="minorHAnsi"/>
        </w:rPr>
        <w:t xml:space="preserve"> </w:t>
      </w:r>
      <w:r>
        <w:rPr>
          <w:rFonts w:cstheme="minorHAnsi"/>
        </w:rPr>
        <w:t xml:space="preserve">Expand on and develop key performance measures for those goals where measures remain unidentified, including: </w:t>
      </w:r>
    </w:p>
    <w:p w14:paraId="26C0BE01" w14:textId="77777777" w:rsidR="00713483" w:rsidRDefault="00713483" w:rsidP="00713483">
      <w:pPr>
        <w:pStyle w:val="ListParagraph"/>
        <w:numPr>
          <w:ilvl w:val="0"/>
          <w:numId w:val="38"/>
        </w:numPr>
        <w:suppressAutoHyphens w:val="0"/>
        <w:spacing w:before="80" w:after="160" w:line="259" w:lineRule="auto"/>
        <w:rPr>
          <w:rFonts w:cstheme="minorHAnsi"/>
        </w:rPr>
      </w:pPr>
      <w:r>
        <w:lastRenderedPageBreak/>
        <w:t>a multi-factored productivity index tailored to Australian freight productivity</w:t>
      </w:r>
    </w:p>
    <w:p w14:paraId="4B45FC89" w14:textId="77777777" w:rsidR="00713483" w:rsidRPr="00155BFB" w:rsidRDefault="00713483" w:rsidP="00713483">
      <w:pPr>
        <w:pStyle w:val="ListParagraph"/>
        <w:numPr>
          <w:ilvl w:val="0"/>
          <w:numId w:val="38"/>
        </w:numPr>
        <w:suppressAutoHyphens w:val="0"/>
        <w:spacing w:before="80" w:after="160" w:line="259" w:lineRule="auto"/>
        <w:rPr>
          <w:rFonts w:cstheme="minorHAnsi"/>
        </w:rPr>
      </w:pPr>
      <w:r>
        <w:t>a measure to capture fleet composition of low or zero emission heavy vehicles</w:t>
      </w:r>
    </w:p>
    <w:p w14:paraId="56F5FB3F" w14:textId="77777777" w:rsidR="00713483" w:rsidRDefault="00713483" w:rsidP="00713483">
      <w:pPr>
        <w:pStyle w:val="ListParagraph"/>
        <w:numPr>
          <w:ilvl w:val="0"/>
          <w:numId w:val="38"/>
        </w:numPr>
        <w:suppressAutoHyphens w:val="0"/>
        <w:spacing w:before="80" w:after="160" w:line="259" w:lineRule="auto"/>
        <w:rPr>
          <w:rFonts w:cstheme="minorHAnsi"/>
        </w:rPr>
      </w:pPr>
      <w:r>
        <w:t>a regulatory measure which looks at regulation improvements or innovations</w:t>
      </w:r>
    </w:p>
    <w:p w14:paraId="35B473CF" w14:textId="77777777" w:rsidR="00713483" w:rsidRPr="00155BFB" w:rsidRDefault="00713483" w:rsidP="00713483">
      <w:pPr>
        <w:pStyle w:val="ListParagraph"/>
        <w:numPr>
          <w:ilvl w:val="0"/>
          <w:numId w:val="38"/>
        </w:numPr>
        <w:suppressAutoHyphens w:val="0"/>
        <w:spacing w:before="80" w:after="160" w:line="259" w:lineRule="auto"/>
        <w:rPr>
          <w:rFonts w:cstheme="minorHAnsi"/>
        </w:rPr>
      </w:pPr>
      <w:r>
        <w:t>an index or compilation of measures which reflect workforce availability, insecurity, and size</w:t>
      </w:r>
    </w:p>
    <w:p w14:paraId="66CB9075" w14:textId="65F33010" w:rsidR="00713483" w:rsidRPr="00155BFB" w:rsidRDefault="00713483" w:rsidP="00713483">
      <w:pPr>
        <w:pStyle w:val="ListParagraph"/>
        <w:numPr>
          <w:ilvl w:val="0"/>
          <w:numId w:val="38"/>
        </w:numPr>
        <w:suppressAutoHyphens w:val="0"/>
        <w:spacing w:before="80" w:after="160" w:line="259" w:lineRule="auto"/>
        <w:rPr>
          <w:rFonts w:cstheme="minorHAnsi"/>
        </w:rPr>
      </w:pPr>
      <w:r>
        <w:t>a measure which captures levels of awareness of freight in the broader community</w:t>
      </w:r>
      <w:r w:rsidR="004D6D84">
        <w:t>.</w:t>
      </w:r>
    </w:p>
    <w:p w14:paraId="698E2C36" w14:textId="2A975FF3" w:rsidR="00DE4FE2" w:rsidRPr="00AE6C16" w:rsidRDefault="00713483" w:rsidP="00FD1D56">
      <w:pPr>
        <w:rPr>
          <w:rFonts w:cstheme="minorHAnsi"/>
        </w:rPr>
      </w:pPr>
      <w:r w:rsidRPr="00575CB6">
        <w:rPr>
          <w:rFonts w:cstheme="minorHAnsi"/>
          <w:b/>
        </w:rPr>
        <w:t>Why:</w:t>
      </w:r>
      <w:r>
        <w:rPr>
          <w:rFonts w:cstheme="minorHAnsi"/>
          <w:b/>
        </w:rPr>
        <w:t xml:space="preserve"> </w:t>
      </w:r>
      <w:r>
        <w:rPr>
          <w:rFonts w:cstheme="minorHAnsi"/>
        </w:rPr>
        <w:t xml:space="preserve">Through the refresh of the Strategy, a government-industry Key Performance Indicator Working Group was established to consider KPIs to measure the Strategy’s progress in achieving its goals. A number of measures have been included in the Strategy. However, more work is needed to ensure there are measures for all the Strategy’s goals.  </w:t>
      </w:r>
    </w:p>
    <w:p w14:paraId="1E63C942" w14:textId="77777777" w:rsidR="00FA3662" w:rsidRPr="00FA3662" w:rsidRDefault="00FA3662" w:rsidP="00FA3662">
      <w:pPr>
        <w:rPr>
          <w:rFonts w:cstheme="minorHAnsi"/>
          <w:b/>
        </w:rPr>
      </w:pPr>
      <w:r w:rsidRPr="00FA3662">
        <w:rPr>
          <w:rFonts w:cstheme="minorHAnsi"/>
          <w:b/>
        </w:rPr>
        <w:t>Lead:</w:t>
      </w:r>
      <w:r w:rsidRPr="00FA3662">
        <w:rPr>
          <w:rFonts w:cstheme="minorHAnsi"/>
        </w:rPr>
        <w:t xml:space="preserve"> Commonwealth</w:t>
      </w:r>
    </w:p>
    <w:p w14:paraId="752CAC56" w14:textId="5EC388B8" w:rsidR="00FA3662" w:rsidRPr="00FA3662" w:rsidRDefault="00FA3662" w:rsidP="00FA3662">
      <w:pPr>
        <w:rPr>
          <w:rFonts w:cstheme="minorHAnsi"/>
        </w:rPr>
      </w:pPr>
      <w:r w:rsidRPr="00FA3662">
        <w:rPr>
          <w:rFonts w:cstheme="minorHAnsi"/>
          <w:b/>
        </w:rPr>
        <w:t>Key Collaborators:</w:t>
      </w:r>
      <w:r>
        <w:rPr>
          <w:rFonts w:cstheme="minorHAnsi"/>
          <w:b/>
        </w:rPr>
        <w:t xml:space="preserve"> </w:t>
      </w:r>
      <w:r>
        <w:rPr>
          <w:rFonts w:cstheme="minorHAnsi"/>
        </w:rPr>
        <w:t>New South Wales, Queensland, Victoria, Northern Territory</w:t>
      </w:r>
      <w:r w:rsidR="00671A22">
        <w:rPr>
          <w:rFonts w:cstheme="minorHAnsi"/>
        </w:rPr>
        <w:t>,</w:t>
      </w:r>
      <w:r w:rsidR="00950053">
        <w:rPr>
          <w:rFonts w:cstheme="minorHAnsi"/>
        </w:rPr>
        <w:t xml:space="preserve"> South Australia</w:t>
      </w:r>
    </w:p>
    <w:p w14:paraId="1847D386" w14:textId="3480BC26" w:rsidR="004A3726" w:rsidRPr="005A6DAA" w:rsidRDefault="00FD1D56" w:rsidP="002B575D">
      <w:pPr>
        <w:suppressAutoHyphens w:val="0"/>
      </w:pPr>
      <w:r w:rsidRPr="00FA3662">
        <w:rPr>
          <w:rFonts w:cstheme="minorHAnsi"/>
          <w:b/>
        </w:rPr>
        <w:t>Timeframe:</w:t>
      </w:r>
      <w:r w:rsidR="006C6861">
        <w:rPr>
          <w:rFonts w:cstheme="minorHAnsi"/>
        </w:rPr>
        <w:t xml:space="preserve"> 2026 to 2027</w:t>
      </w:r>
    </w:p>
    <w:sectPr w:rsidR="004A3726" w:rsidRPr="005A6DAA" w:rsidSect="005C312F">
      <w:headerReference w:type="default" r:id="rId38"/>
      <w:footerReference w:type="default" r:id="rId39"/>
      <w:pgSz w:w="11906" w:h="16838" w:code="9"/>
      <w:pgMar w:top="1021" w:right="1021" w:bottom="1021" w:left="1021" w:header="34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8DB70E" w14:textId="77777777" w:rsidR="000272DA" w:rsidRDefault="000272DA" w:rsidP="008456D5">
      <w:pPr>
        <w:spacing w:before="0" w:after="0"/>
      </w:pPr>
      <w:r>
        <w:separator/>
      </w:r>
    </w:p>
  </w:endnote>
  <w:endnote w:type="continuationSeparator" w:id="0">
    <w:p w14:paraId="1100C23A" w14:textId="77777777" w:rsidR="000272DA" w:rsidRDefault="000272DA" w:rsidP="008456D5">
      <w:pPr>
        <w:spacing w:before="0" w:after="0"/>
      </w:pPr>
      <w:r>
        <w:continuationSeparator/>
      </w:r>
    </w:p>
  </w:endnote>
  <w:endnote w:type="continuationNotice" w:id="1">
    <w:p w14:paraId="4859592A" w14:textId="77777777" w:rsidR="000272DA" w:rsidRDefault="000272D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A3568" w14:textId="2E7D7046" w:rsidR="000272DA" w:rsidRPr="003C67CE" w:rsidRDefault="00272B48" w:rsidP="00D86E40">
    <w:pPr>
      <w:pStyle w:val="SecurityMarker"/>
      <w:ind w:left="0"/>
    </w:pPr>
    <w:r>
      <w:fldChar w:fldCharType="begin"/>
    </w:r>
    <w:r>
      <w:instrText xml:space="preserve"> STYLEREF  "Security Marker"  \* MERGEFORMAT </w:instrTex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9B02F" w14:textId="77777777" w:rsidR="000272DA" w:rsidRDefault="000272DA" w:rsidP="00BA24FB">
    <w:pPr>
      <w:pStyle w:val="Footer"/>
      <w:spacing w:before="360"/>
    </w:pPr>
  </w:p>
  <w:p w14:paraId="5C88AF00" w14:textId="77777777" w:rsidR="000272DA" w:rsidRDefault="00BB7C94" w:rsidP="00827492">
    <w:pPr>
      <w:pStyle w:val="SecurityMarker"/>
    </w:pPr>
    <w:sdt>
      <w:sdtPr>
        <w:alias w:val="Status"/>
        <w:tag w:val=""/>
        <w:id w:val="-1420637097"/>
        <w:placeholder>
          <w:docPart w:val="DA1CC325DB2847E4857055B3B541CC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0272DA">
          <w:t>OFFICIAL / OFFICIAL: SENSITIVE / PROTECTEDSELECT THE CLASSIFICATION MARKER ABOVE THAT APPLIES TO YOUR DOCUMENT, THEN DELETE THE OTHERS AND THIS TEXT&gt;</w:t>
        </w:r>
      </w:sdtContent>
    </w:sdt>
    <w:r w:rsidR="000272DA">
      <w:rPr>
        <w:noProof/>
        <w:lang w:eastAsia="en-AU"/>
      </w:rPr>
      <mc:AlternateContent>
        <mc:Choice Requires="wps">
          <w:drawing>
            <wp:inline distT="0" distB="0" distL="0" distR="0" wp14:anchorId="47AEABC8" wp14:editId="1300FFBC">
              <wp:extent cx="1007640" cy="720000"/>
              <wp:effectExtent l="0" t="0" r="0" b="0"/>
              <wp:docPr id="10" name="Text Box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720000"/>
                      </a:xfrm>
                      <a:prstGeom prst="rect">
                        <a:avLst/>
                      </a:prstGeom>
                      <a:noFill/>
                      <a:ln w="6350">
                        <a:noFill/>
                      </a:ln>
                    </wps:spPr>
                    <wps:txbx>
                      <w:txbxContent>
                        <w:p w14:paraId="220AAE1B" w14:textId="77777777" w:rsidR="000272DA" w:rsidRDefault="000272DA" w:rsidP="00BA24FB">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14:paraId="0EC60339" w14:textId="77777777" w:rsidR="000272DA" w:rsidRPr="00077FE0" w:rsidRDefault="000272DA" w:rsidP="00827492">
                          <w:pPr>
                            <w:pStyle w:val="SecurityMarker"/>
                          </w:pPr>
                        </w:p>
                      </w:txbxContent>
                    </wps:txbx>
                    <wps:bodyPr rot="0" spcFirstLastPara="0" vertOverflow="overflow" horzOverflow="overflow" vert="horz" wrap="square" lIns="0" tIns="0" rIns="648000" bIns="252000" numCol="1" spcCol="0" rtlCol="0" fromWordArt="0" anchor="b" anchorCtr="0" forceAA="0" compatLnSpc="1">
                      <a:prstTxWarp prst="textNoShape">
                        <a:avLst/>
                      </a:prstTxWarp>
                      <a:noAutofit/>
                    </wps:bodyPr>
                  </wps:wsp>
                </a:graphicData>
              </a:graphic>
            </wp:inline>
          </w:drawing>
        </mc:Choice>
        <mc:Fallback>
          <w:pict>
            <v:shapetype w14:anchorId="47AEABC8" id="_x0000_t202" coordsize="21600,21600" o:spt="202" path="m,l,21600r21600,l21600,xe">
              <v:stroke joinstyle="miter"/>
              <v:path gradientshapeok="t" o:connecttype="rect"/>
            </v:shapetype>
            <v:shape id="Text Box 10" o:spid="_x0000_s1026" type="#_x0000_t202" style="width:79.35pt;height:56.7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" filled="f" stroked="f" strokeweight=".5pt">
              <v:textbox inset="0,0,18mm,7mm">
                <w:txbxContent>
                  <w:p w14:paraId="220AAE1B" w14:textId="77777777" w:rsidR="000272DA" w:rsidRDefault="000272DA" w:rsidP="00BA24FB">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14:paraId="0EC60339" w14:textId="77777777" w:rsidR="000272DA" w:rsidRPr="00077FE0" w:rsidRDefault="000272DA" w:rsidP="00827492">
                    <w:pPr>
                      <w:pStyle w:val="SecurityMarker"/>
                    </w:pP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F535F" w14:textId="4F8CD7D6" w:rsidR="000272DA" w:rsidRPr="00654E6E" w:rsidRDefault="000272DA" w:rsidP="00A10F99">
    <w:pPr>
      <w:pStyle w:val="Footer"/>
      <w:tabs>
        <w:tab w:val="clear" w:pos="4513"/>
        <w:tab w:val="clear" w:pos="9026"/>
        <w:tab w:val="center" w:pos="4820"/>
        <w:tab w:val="right" w:pos="14742"/>
      </w:tabs>
      <w:spacing w:after="160"/>
      <w:jc w:val="right"/>
      <w:rPr>
        <w:color w:val="auto"/>
      </w:rPr>
    </w:pPr>
    <w:r w:rsidRPr="00654E6E">
      <w:rPr>
        <w:color w:val="auto"/>
        <w:sz w:val="18"/>
        <w:szCs w:val="18"/>
        <w:lang w:val="en-US"/>
      </w:rPr>
      <w:tab/>
      <w:t xml:space="preserve">Page </w:t>
    </w:r>
    <w:r w:rsidRPr="00654E6E">
      <w:rPr>
        <w:color w:val="auto"/>
        <w:sz w:val="18"/>
        <w:szCs w:val="18"/>
        <w:lang w:val="en-US"/>
      </w:rPr>
      <w:fldChar w:fldCharType="begin"/>
    </w:r>
    <w:r w:rsidRPr="00654E6E">
      <w:rPr>
        <w:color w:val="auto"/>
        <w:sz w:val="18"/>
        <w:szCs w:val="18"/>
        <w:lang w:val="en-US"/>
      </w:rPr>
      <w:instrText xml:space="preserve"> PAGE   \* MERGEFORMAT </w:instrText>
    </w:r>
    <w:r w:rsidRPr="00654E6E">
      <w:rPr>
        <w:color w:val="auto"/>
        <w:sz w:val="18"/>
        <w:szCs w:val="18"/>
        <w:lang w:val="en-US"/>
      </w:rPr>
      <w:fldChar w:fldCharType="separate"/>
    </w:r>
    <w:r>
      <w:rPr>
        <w:color w:val="auto"/>
        <w:sz w:val="18"/>
        <w:szCs w:val="18"/>
        <w:lang w:val="en-US"/>
      </w:rPr>
      <w:t>2</w:t>
    </w:r>
    <w:r w:rsidRPr="00654E6E">
      <w:rPr>
        <w:noProof/>
        <w:color w:val="auto"/>
        <w:sz w:val="18"/>
        <w:szCs w:val="18"/>
        <w:lang w:val="en-US"/>
      </w:rPr>
      <w:fldChar w:fldCharType="end"/>
    </w:r>
    <w:r w:rsidRPr="00654E6E">
      <w:rPr>
        <w:noProof/>
        <w:color w:val="auto"/>
        <w:sz w:val="18"/>
        <w:szCs w:val="18"/>
        <w:lang w:val="en-US"/>
      </w:rPr>
      <w:t xml:space="preserve"> of </w:t>
    </w:r>
    <w:r w:rsidRPr="00654E6E">
      <w:rPr>
        <w:noProof/>
        <w:color w:val="auto"/>
        <w:sz w:val="18"/>
        <w:szCs w:val="18"/>
        <w:lang w:val="en-US"/>
      </w:rPr>
      <w:fldChar w:fldCharType="begin"/>
    </w:r>
    <w:r w:rsidRPr="00654E6E">
      <w:rPr>
        <w:noProof/>
        <w:color w:val="auto"/>
        <w:sz w:val="18"/>
        <w:szCs w:val="18"/>
        <w:lang w:val="en-US"/>
      </w:rPr>
      <w:instrText xml:space="preserve"> NUMPAGES   \* MERGEFORMAT </w:instrText>
    </w:r>
    <w:r w:rsidRPr="00654E6E">
      <w:rPr>
        <w:noProof/>
        <w:color w:val="auto"/>
        <w:sz w:val="18"/>
        <w:szCs w:val="18"/>
        <w:lang w:val="en-US"/>
      </w:rPr>
      <w:fldChar w:fldCharType="separate"/>
    </w:r>
    <w:r>
      <w:rPr>
        <w:noProof/>
        <w:color w:val="auto"/>
        <w:sz w:val="18"/>
        <w:szCs w:val="18"/>
        <w:lang w:val="en-US"/>
      </w:rPr>
      <w:t>12</w:t>
    </w:r>
    <w:r w:rsidRPr="00654E6E">
      <w:rPr>
        <w:noProof/>
        <w:color w:val="auto"/>
        <w:sz w:val="18"/>
        <w:szCs w:val="18"/>
        <w:lang w:val="en-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E1AF0" w14:textId="48A62684" w:rsidR="000272DA" w:rsidRPr="00654E6E" w:rsidRDefault="000272DA" w:rsidP="005A6DAA">
    <w:pPr>
      <w:pStyle w:val="Footer"/>
      <w:tabs>
        <w:tab w:val="clear" w:pos="4513"/>
        <w:tab w:val="clear" w:pos="9026"/>
        <w:tab w:val="center" w:pos="4820"/>
        <w:tab w:val="right" w:pos="14742"/>
      </w:tabs>
      <w:spacing w:after="160"/>
      <w:rPr>
        <w:color w:val="auto"/>
      </w:rPr>
    </w:pPr>
    <w:r w:rsidRPr="00654E6E">
      <w:rPr>
        <w:color w:val="auto"/>
        <w:sz w:val="18"/>
        <w:szCs w:val="18"/>
        <w:lang w:val="en-US"/>
      </w:rPr>
      <w:tab/>
    </w:r>
    <w:r w:rsidRPr="00654E6E">
      <w:rPr>
        <w:color w:val="auto"/>
        <w:sz w:val="18"/>
        <w:szCs w:val="18"/>
        <w:lang w:val="en-US"/>
      </w:rPr>
      <w:tab/>
      <w:t xml:space="preserve">Page </w:t>
    </w:r>
    <w:r w:rsidRPr="00654E6E">
      <w:rPr>
        <w:color w:val="auto"/>
        <w:sz w:val="18"/>
        <w:szCs w:val="18"/>
        <w:lang w:val="en-US"/>
      </w:rPr>
      <w:fldChar w:fldCharType="begin"/>
    </w:r>
    <w:r w:rsidRPr="00654E6E">
      <w:rPr>
        <w:color w:val="auto"/>
        <w:sz w:val="18"/>
        <w:szCs w:val="18"/>
        <w:lang w:val="en-US"/>
      </w:rPr>
      <w:instrText xml:space="preserve"> PAGE   \* MERGEFORMAT </w:instrText>
    </w:r>
    <w:r w:rsidRPr="00654E6E">
      <w:rPr>
        <w:color w:val="auto"/>
        <w:sz w:val="18"/>
        <w:szCs w:val="18"/>
        <w:lang w:val="en-US"/>
      </w:rPr>
      <w:fldChar w:fldCharType="separate"/>
    </w:r>
    <w:r>
      <w:rPr>
        <w:color w:val="auto"/>
        <w:sz w:val="18"/>
        <w:szCs w:val="18"/>
        <w:lang w:val="en-US"/>
      </w:rPr>
      <w:t>2</w:t>
    </w:r>
    <w:r w:rsidRPr="00654E6E">
      <w:rPr>
        <w:noProof/>
        <w:color w:val="auto"/>
        <w:sz w:val="18"/>
        <w:szCs w:val="18"/>
        <w:lang w:val="en-US"/>
      </w:rPr>
      <w:fldChar w:fldCharType="end"/>
    </w:r>
    <w:r w:rsidRPr="00654E6E">
      <w:rPr>
        <w:noProof/>
        <w:color w:val="auto"/>
        <w:sz w:val="18"/>
        <w:szCs w:val="18"/>
        <w:lang w:val="en-US"/>
      </w:rPr>
      <w:t xml:space="preserve"> of </w:t>
    </w:r>
    <w:r w:rsidRPr="00654E6E">
      <w:rPr>
        <w:noProof/>
        <w:color w:val="auto"/>
        <w:sz w:val="18"/>
        <w:szCs w:val="18"/>
        <w:lang w:val="en-US"/>
      </w:rPr>
      <w:fldChar w:fldCharType="begin"/>
    </w:r>
    <w:r w:rsidRPr="00654E6E">
      <w:rPr>
        <w:noProof/>
        <w:color w:val="auto"/>
        <w:sz w:val="18"/>
        <w:szCs w:val="18"/>
        <w:lang w:val="en-US"/>
      </w:rPr>
      <w:instrText xml:space="preserve"> NUMPAGES   \* MERGEFORMAT </w:instrText>
    </w:r>
    <w:r w:rsidRPr="00654E6E">
      <w:rPr>
        <w:noProof/>
        <w:color w:val="auto"/>
        <w:sz w:val="18"/>
        <w:szCs w:val="18"/>
        <w:lang w:val="en-US"/>
      </w:rPr>
      <w:fldChar w:fldCharType="separate"/>
    </w:r>
    <w:r>
      <w:rPr>
        <w:noProof/>
        <w:color w:val="auto"/>
        <w:sz w:val="18"/>
        <w:szCs w:val="18"/>
        <w:lang w:val="en-US"/>
      </w:rPr>
      <w:t>12</w:t>
    </w:r>
    <w:r w:rsidRPr="00654E6E">
      <w:rPr>
        <w:noProof/>
        <w:color w:val="auto"/>
        <w:sz w:val="18"/>
        <w:szCs w:val="18"/>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228D7E" w14:textId="77777777" w:rsidR="000272DA" w:rsidRPr="005912BE" w:rsidRDefault="000272DA" w:rsidP="005912BE">
      <w:pPr>
        <w:spacing w:before="300"/>
        <w:rPr>
          <w:color w:val="008089" w:themeColor="accent2"/>
        </w:rPr>
      </w:pPr>
      <w:r w:rsidRPr="004063DE">
        <w:rPr>
          <w:color w:val="004044" w:themeColor="accent2" w:themeShade="80"/>
        </w:rPr>
        <w:t>----------</w:t>
      </w:r>
    </w:p>
  </w:footnote>
  <w:footnote w:type="continuationSeparator" w:id="0">
    <w:p w14:paraId="01AFF358" w14:textId="77777777" w:rsidR="000272DA" w:rsidRDefault="000272DA" w:rsidP="008456D5">
      <w:pPr>
        <w:spacing w:before="0" w:after="0"/>
      </w:pPr>
      <w:r>
        <w:continuationSeparator/>
      </w:r>
    </w:p>
  </w:footnote>
  <w:footnote w:type="continuationNotice" w:id="1">
    <w:p w14:paraId="288E538A" w14:textId="77777777" w:rsidR="000272DA" w:rsidRDefault="000272DA">
      <w:pPr>
        <w:spacing w:before="0" w:after="0"/>
      </w:pPr>
    </w:p>
  </w:footnote>
  <w:footnote w:id="2">
    <w:p w14:paraId="08986233" w14:textId="0E3FBFDA" w:rsidR="000272DA" w:rsidRDefault="000272DA" w:rsidP="004841B4">
      <w:pPr>
        <w:pStyle w:val="FootnoteText"/>
      </w:pPr>
      <w:r>
        <w:rPr>
          <w:rStyle w:val="FootnoteReference"/>
        </w:rPr>
        <w:footnoteRef/>
      </w:r>
      <w:r w:rsidR="00F64891">
        <w:rPr>
          <w:rFonts w:asciiTheme="majorHAnsi" w:hAnsiTheme="majorHAnsi" w:cstheme="majorHAnsi"/>
          <w:sz w:val="20"/>
        </w:rPr>
        <w:t xml:space="preserve"> Australian Bureau of Statistics (ABS), </w:t>
      </w:r>
      <w:hyperlink r:id="rId1" w:anchor="estimatesof-industry-productivity" w:history="1">
        <w:r w:rsidR="00F64891">
          <w:rPr>
            <w:rStyle w:val="Hyperlink"/>
            <w:rFonts w:asciiTheme="majorHAnsi" w:hAnsiTheme="majorHAnsi" w:cstheme="majorHAnsi"/>
            <w:sz w:val="20"/>
          </w:rPr>
          <w:t>Estimates of Industry Multifactor Productivity, 2021-22</w:t>
        </w:r>
      </w:hyperlink>
      <w:r w:rsidR="00F64891">
        <w:rPr>
          <w:rFonts w:asciiTheme="majorHAnsi" w:hAnsiTheme="majorHAnsi" w:cstheme="majorHAnsi"/>
          <w:sz w:val="20"/>
        </w:rPr>
        <w:t>, ABS website, Australian Government, December 2022.</w:t>
      </w:r>
    </w:p>
  </w:footnote>
  <w:footnote w:id="3">
    <w:p w14:paraId="58FBFD51" w14:textId="4ECE7808" w:rsidR="000272DA" w:rsidRPr="00DF2BE9" w:rsidRDefault="000272DA" w:rsidP="004841B4">
      <w:pPr>
        <w:pStyle w:val="FootnoteText"/>
        <w:rPr>
          <w:lang w:val="en-US"/>
        </w:rPr>
      </w:pPr>
      <w:r>
        <w:rPr>
          <w:rStyle w:val="FootnoteReference"/>
        </w:rPr>
        <w:footnoteRef/>
      </w:r>
      <w:r>
        <w:t xml:space="preserve"> </w:t>
      </w:r>
      <w:r>
        <w:rPr>
          <w:rFonts w:cstheme="minorHAnsi"/>
        </w:rPr>
        <w:t xml:space="preserve">Note: </w:t>
      </w:r>
      <w:r w:rsidRPr="00DF2BE9">
        <w:t>connected and automated vehicle technologies (including cooperative intelligent transport systems (C</w:t>
      </w:r>
      <w:r>
        <w:noBreakHyphen/>
      </w:r>
      <w:r w:rsidRPr="00DF2BE9">
        <w:t xml:space="preserve">ITS)) are being progressed under the </w:t>
      </w:r>
      <w:hyperlink r:id="rId2" w:history="1">
        <w:r w:rsidRPr="00F64891">
          <w:rPr>
            <w:rStyle w:val="Hyperlink"/>
          </w:rPr>
          <w:t>National Road Transport Technology Strategy and its associated Action Plan</w:t>
        </w:r>
      </w:hyperlink>
      <w:r w:rsidRPr="00DF2BE9">
        <w:t xml:space="preserve"> (the 2024-27 National Connected and Automated Vehicle (CAV) Action Plan).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89040" w14:textId="5437D104" w:rsidR="000272DA" w:rsidRDefault="000272DA" w:rsidP="00D86E40">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18F3B" w14:textId="77777777" w:rsidR="000272DA" w:rsidRDefault="000272DA" w:rsidP="00546218">
    <w:pPr>
      <w:pStyle w:val="Header"/>
      <w:spacing w:after="13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0DBF4" w14:textId="114F4925" w:rsidR="000272DA" w:rsidRPr="003C67CE" w:rsidRDefault="00272B48" w:rsidP="0042391F">
    <w:pPr>
      <w:pStyle w:val="SecurityMarker"/>
      <w:ind w:left="0"/>
    </w:pPr>
    <w:r>
      <w:fldChar w:fldCharType="begin"/>
    </w:r>
    <w:r>
      <w:instrText xml:space="preserve"> STYLEREF  "Security Marker"  \* MERGEFORMAT </w:instrText>
    </w:r>
    <w:r>
      <w:rPr>
        <w:noProof/>
      </w:rPr>
      <w:fldChar w:fldCharType="end"/>
    </w:r>
  </w:p>
  <w:p w14:paraId="5C13125B" w14:textId="77777777" w:rsidR="000272DA" w:rsidRDefault="000272DA" w:rsidP="00D86E40">
    <w:pPr>
      <w:pStyle w:val="Header"/>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50F3B" w14:textId="3DA2B23E" w:rsidR="000272DA" w:rsidRPr="003C67CE" w:rsidRDefault="00272B48" w:rsidP="00D86E40">
    <w:pPr>
      <w:pStyle w:val="SecurityMarker"/>
      <w:ind w:left="0"/>
    </w:pPr>
    <w:r>
      <w:fldChar w:fldCharType="begin"/>
    </w:r>
    <w:r>
      <w:instrText xml:space="preserve"> STYLEREF  "Security Marker"  \* MERGEFORMAT </w:instrText>
    </w:r>
    <w:r>
      <w:rPr>
        <w:noProof/>
      </w:rPr>
      <w:fldChar w:fldCharType="end"/>
    </w:r>
  </w:p>
  <w:p w14:paraId="6D162B2A" w14:textId="77777777" w:rsidR="000272DA" w:rsidRPr="00D86E40" w:rsidRDefault="000272DA" w:rsidP="00D86E4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Status"/>
      <w:tag w:val=""/>
      <w:id w:val="-1075507228"/>
      <w:dataBinding w:prefixMappings="xmlns:ns0='http://purl.org/dc/elements/1.1/' xmlns:ns1='http://schemas.openxmlformats.org/package/2006/metadata/core-properties' " w:xpath="/ns1:coreProperties[1]/ns1:contentStatus[1]" w:storeItemID="{6C3C8BC8-F283-45AE-878A-BAB7291924A1}"/>
      <w:text/>
    </w:sdtPr>
    <w:sdtEndPr/>
    <w:sdtContent>
      <w:p w14:paraId="6489A3B8" w14:textId="77777777" w:rsidR="000272DA" w:rsidRDefault="000272DA" w:rsidP="00827492">
        <w:pPr>
          <w:pStyle w:val="SecurityMarker"/>
        </w:pPr>
        <w:r>
          <w:t>OFFICIAL / OFFICIAL: SENSITIVE / PROTECTEDSELECT THE CLASSIFICATION MARKER ABOVE THAT APPLIES TO YOUR DOCUMENT, THEN DELETE THE OTHERS AND THIS TEXT&gt;</w:t>
        </w:r>
      </w:p>
    </w:sdtContent>
  </w:sdt>
  <w:p w14:paraId="0F5ABD63" w14:textId="519DF54C" w:rsidR="000272DA" w:rsidRDefault="00C3248B" w:rsidP="00BA24FB">
    <w:pPr>
      <w:pStyle w:val="Header"/>
      <w:spacing w:after="720"/>
    </w:pPr>
    <w:fldSimple w:instr=" STYLEREF  &quot;Heading 1&quot; \l  \* MERGEFORMAT ">
      <w:r w:rsidR="000272DA">
        <w:rPr>
          <w:noProof/>
        </w:rPr>
        <w:t>Acknowledgement of Country</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29897" w14:textId="4BA23C26" w:rsidR="000272DA" w:rsidRPr="003C67CE" w:rsidRDefault="00272B48" w:rsidP="00D86E40">
    <w:pPr>
      <w:pStyle w:val="SecurityMarker"/>
      <w:ind w:left="0"/>
    </w:pPr>
    <w:r>
      <w:fldChar w:fldCharType="begin"/>
    </w:r>
    <w:r>
      <w:instrText xml:space="preserve"> STYLEREF  "Security Marker"  \* MERGEFORMAT </w:instrText>
    </w:r>
    <w:r>
      <w:rPr>
        <w:noProof/>
      </w:rPr>
      <w:fldChar w:fldCharType="end"/>
    </w:r>
  </w:p>
  <w:p w14:paraId="0794BF36" w14:textId="77777777" w:rsidR="000272DA" w:rsidRPr="00D86E40" w:rsidRDefault="000272DA" w:rsidP="00D86E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4470"/>
        </w:tabs>
        <w:ind w:left="4470"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E1B6F"/>
    <w:multiLevelType w:val="hybridMultilevel"/>
    <w:tmpl w:val="30382E1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7F451BB"/>
    <w:multiLevelType w:val="hybridMultilevel"/>
    <w:tmpl w:val="5DEC8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D621AED"/>
    <w:multiLevelType w:val="multilevel"/>
    <w:tmpl w:val="C2EED61A"/>
    <w:numStyleLink w:val="NumberedHeadings"/>
  </w:abstractNum>
  <w:abstractNum w:abstractNumId="14" w15:restartNumberingAfterBreak="0">
    <w:nsid w:val="17CA4844"/>
    <w:multiLevelType w:val="hybridMultilevel"/>
    <w:tmpl w:val="3F96F27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18DD0007"/>
    <w:multiLevelType w:val="hybridMultilevel"/>
    <w:tmpl w:val="9612B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92D3813"/>
    <w:multiLevelType w:val="hybridMultilevel"/>
    <w:tmpl w:val="D806F6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39DA1CAE"/>
    <w:multiLevelType w:val="hybridMultilevel"/>
    <w:tmpl w:val="E0F005B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9" w15:restartNumberingAfterBreak="0">
    <w:nsid w:val="3AA51938"/>
    <w:multiLevelType w:val="multilevel"/>
    <w:tmpl w:val="298C34E4"/>
    <w:numStyleLink w:val="AppendixNumbers"/>
  </w:abstractNum>
  <w:abstractNum w:abstractNumId="20"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2" w15:restartNumberingAfterBreak="0">
    <w:nsid w:val="490C05CD"/>
    <w:multiLevelType w:val="hybridMultilevel"/>
    <w:tmpl w:val="6786F5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545B01A1"/>
    <w:multiLevelType w:val="hybridMultilevel"/>
    <w:tmpl w:val="4AEEF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7" w15:restartNumberingAfterBreak="0">
    <w:nsid w:val="7F9A1D3D"/>
    <w:multiLevelType w:val="hybridMultilevel"/>
    <w:tmpl w:val="C30664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3"/>
  </w:num>
  <w:num w:numId="19">
    <w:abstractNumId w:val="16"/>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24"/>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25"/>
  </w:num>
  <w:num w:numId="26">
    <w:abstractNumId w:val="25"/>
  </w:num>
  <w:num w:numId="27">
    <w:abstractNumId w:val="25"/>
  </w:num>
  <w:num w:numId="28">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1"/>
  </w:num>
  <w:num w:numId="31">
    <w:abstractNumId w:val="10"/>
  </w:num>
  <w:num w:numId="32">
    <w:abstractNumId w:val="17"/>
  </w:num>
  <w:num w:numId="33">
    <w:abstractNumId w:val="14"/>
  </w:num>
  <w:num w:numId="34">
    <w:abstractNumId w:val="27"/>
  </w:num>
  <w:num w:numId="35">
    <w:abstractNumId w:val="15"/>
  </w:num>
  <w:num w:numId="36">
    <w:abstractNumId w:val="12"/>
  </w:num>
  <w:num w:numId="37">
    <w:abstractNumId w:val="22"/>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757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45C"/>
    <w:rsid w:val="000075AC"/>
    <w:rsid w:val="0001430B"/>
    <w:rsid w:val="00023BA8"/>
    <w:rsid w:val="000272DA"/>
    <w:rsid w:val="00041240"/>
    <w:rsid w:val="00051A1C"/>
    <w:rsid w:val="000749C1"/>
    <w:rsid w:val="00085622"/>
    <w:rsid w:val="000A47C1"/>
    <w:rsid w:val="000A75A4"/>
    <w:rsid w:val="000B32BC"/>
    <w:rsid w:val="000B75D3"/>
    <w:rsid w:val="000D34F3"/>
    <w:rsid w:val="000D591D"/>
    <w:rsid w:val="000E24BA"/>
    <w:rsid w:val="000E5674"/>
    <w:rsid w:val="001041F2"/>
    <w:rsid w:val="001349C6"/>
    <w:rsid w:val="00141A14"/>
    <w:rsid w:val="001478B3"/>
    <w:rsid w:val="00176512"/>
    <w:rsid w:val="001803E3"/>
    <w:rsid w:val="001832D5"/>
    <w:rsid w:val="0018785B"/>
    <w:rsid w:val="001A40CB"/>
    <w:rsid w:val="001B0FFB"/>
    <w:rsid w:val="001B1100"/>
    <w:rsid w:val="001B1BFC"/>
    <w:rsid w:val="001B6533"/>
    <w:rsid w:val="001C158E"/>
    <w:rsid w:val="001E18DA"/>
    <w:rsid w:val="001F1D31"/>
    <w:rsid w:val="00201CEB"/>
    <w:rsid w:val="00203900"/>
    <w:rsid w:val="00204515"/>
    <w:rsid w:val="00206B39"/>
    <w:rsid w:val="00206DF0"/>
    <w:rsid w:val="0021019B"/>
    <w:rsid w:val="00216AED"/>
    <w:rsid w:val="002254D5"/>
    <w:rsid w:val="0022611D"/>
    <w:rsid w:val="00243AB4"/>
    <w:rsid w:val="0026472A"/>
    <w:rsid w:val="00267A59"/>
    <w:rsid w:val="00272B48"/>
    <w:rsid w:val="00284164"/>
    <w:rsid w:val="0028673F"/>
    <w:rsid w:val="00291050"/>
    <w:rsid w:val="00294302"/>
    <w:rsid w:val="002B3569"/>
    <w:rsid w:val="002B575D"/>
    <w:rsid w:val="002B7197"/>
    <w:rsid w:val="002C5896"/>
    <w:rsid w:val="002C78B6"/>
    <w:rsid w:val="002D01AA"/>
    <w:rsid w:val="002E1ADA"/>
    <w:rsid w:val="00302183"/>
    <w:rsid w:val="00320CEC"/>
    <w:rsid w:val="003261CF"/>
    <w:rsid w:val="00332881"/>
    <w:rsid w:val="00345664"/>
    <w:rsid w:val="003503D5"/>
    <w:rsid w:val="003720E9"/>
    <w:rsid w:val="003C625A"/>
    <w:rsid w:val="003D7143"/>
    <w:rsid w:val="003F775D"/>
    <w:rsid w:val="004063DE"/>
    <w:rsid w:val="00420F04"/>
    <w:rsid w:val="0042391F"/>
    <w:rsid w:val="0043190E"/>
    <w:rsid w:val="004574FC"/>
    <w:rsid w:val="00477E77"/>
    <w:rsid w:val="004838B8"/>
    <w:rsid w:val="004841B4"/>
    <w:rsid w:val="004A3726"/>
    <w:rsid w:val="004B0FC7"/>
    <w:rsid w:val="004D4D67"/>
    <w:rsid w:val="004D6D84"/>
    <w:rsid w:val="004D76CA"/>
    <w:rsid w:val="004F0E4D"/>
    <w:rsid w:val="00506D33"/>
    <w:rsid w:val="00530E92"/>
    <w:rsid w:val="00533744"/>
    <w:rsid w:val="00535938"/>
    <w:rsid w:val="005408CE"/>
    <w:rsid w:val="00541213"/>
    <w:rsid w:val="00546218"/>
    <w:rsid w:val="0055113F"/>
    <w:rsid w:val="0055508A"/>
    <w:rsid w:val="005636F1"/>
    <w:rsid w:val="0057502D"/>
    <w:rsid w:val="005912BE"/>
    <w:rsid w:val="005A5A2D"/>
    <w:rsid w:val="005A6352"/>
    <w:rsid w:val="005A6DAA"/>
    <w:rsid w:val="005B4A97"/>
    <w:rsid w:val="005C312F"/>
    <w:rsid w:val="005C37B6"/>
    <w:rsid w:val="005C6875"/>
    <w:rsid w:val="005E3014"/>
    <w:rsid w:val="005F794B"/>
    <w:rsid w:val="00610B5B"/>
    <w:rsid w:val="00617139"/>
    <w:rsid w:val="00637A1E"/>
    <w:rsid w:val="00646420"/>
    <w:rsid w:val="0064714B"/>
    <w:rsid w:val="00666D51"/>
    <w:rsid w:val="00671A22"/>
    <w:rsid w:val="006C6861"/>
    <w:rsid w:val="006E1ECA"/>
    <w:rsid w:val="00701000"/>
    <w:rsid w:val="00710A02"/>
    <w:rsid w:val="0071286C"/>
    <w:rsid w:val="00713483"/>
    <w:rsid w:val="0073012B"/>
    <w:rsid w:val="00731012"/>
    <w:rsid w:val="0073372A"/>
    <w:rsid w:val="00740289"/>
    <w:rsid w:val="00741FB2"/>
    <w:rsid w:val="00752D6D"/>
    <w:rsid w:val="00773C1F"/>
    <w:rsid w:val="00774CD2"/>
    <w:rsid w:val="007A05BE"/>
    <w:rsid w:val="007A27E5"/>
    <w:rsid w:val="007A4704"/>
    <w:rsid w:val="007A5F39"/>
    <w:rsid w:val="007B05DE"/>
    <w:rsid w:val="007C4CF6"/>
    <w:rsid w:val="007E4331"/>
    <w:rsid w:val="00802EBF"/>
    <w:rsid w:val="008067A1"/>
    <w:rsid w:val="00806F8A"/>
    <w:rsid w:val="00827492"/>
    <w:rsid w:val="00836397"/>
    <w:rsid w:val="008364BE"/>
    <w:rsid w:val="0084160B"/>
    <w:rsid w:val="008456D5"/>
    <w:rsid w:val="00845C59"/>
    <w:rsid w:val="0084634B"/>
    <w:rsid w:val="00870A51"/>
    <w:rsid w:val="008935D4"/>
    <w:rsid w:val="00894D0F"/>
    <w:rsid w:val="008A10A9"/>
    <w:rsid w:val="008A1887"/>
    <w:rsid w:val="008A39D7"/>
    <w:rsid w:val="008A67D0"/>
    <w:rsid w:val="008B5910"/>
    <w:rsid w:val="008B6A81"/>
    <w:rsid w:val="008C29C6"/>
    <w:rsid w:val="008C39E3"/>
    <w:rsid w:val="008D0E08"/>
    <w:rsid w:val="008E2A0D"/>
    <w:rsid w:val="008F1475"/>
    <w:rsid w:val="009428C0"/>
    <w:rsid w:val="00950053"/>
    <w:rsid w:val="0097445C"/>
    <w:rsid w:val="00992711"/>
    <w:rsid w:val="00997A1B"/>
    <w:rsid w:val="009B00F2"/>
    <w:rsid w:val="009B4265"/>
    <w:rsid w:val="009B4485"/>
    <w:rsid w:val="009D4FE5"/>
    <w:rsid w:val="009D7CCE"/>
    <w:rsid w:val="00A00EE5"/>
    <w:rsid w:val="00A04189"/>
    <w:rsid w:val="00A070A2"/>
    <w:rsid w:val="00A10F99"/>
    <w:rsid w:val="00A1259C"/>
    <w:rsid w:val="00A14B1E"/>
    <w:rsid w:val="00A3668F"/>
    <w:rsid w:val="00A66A80"/>
    <w:rsid w:val="00A73E4A"/>
    <w:rsid w:val="00A8421B"/>
    <w:rsid w:val="00A8574D"/>
    <w:rsid w:val="00A9196B"/>
    <w:rsid w:val="00A95970"/>
    <w:rsid w:val="00AC1302"/>
    <w:rsid w:val="00AC4D56"/>
    <w:rsid w:val="00AD296E"/>
    <w:rsid w:val="00AD2A74"/>
    <w:rsid w:val="00AD7703"/>
    <w:rsid w:val="00AE5D71"/>
    <w:rsid w:val="00AE6C16"/>
    <w:rsid w:val="00B06D96"/>
    <w:rsid w:val="00B42AC2"/>
    <w:rsid w:val="00B46499"/>
    <w:rsid w:val="00B5250B"/>
    <w:rsid w:val="00B54A3D"/>
    <w:rsid w:val="00B54E13"/>
    <w:rsid w:val="00B72405"/>
    <w:rsid w:val="00B84F8B"/>
    <w:rsid w:val="00BA24FB"/>
    <w:rsid w:val="00BB0C41"/>
    <w:rsid w:val="00BB3AAC"/>
    <w:rsid w:val="00BB7C94"/>
    <w:rsid w:val="00BC34B4"/>
    <w:rsid w:val="00BC63E9"/>
    <w:rsid w:val="00BD277C"/>
    <w:rsid w:val="00C00656"/>
    <w:rsid w:val="00C06619"/>
    <w:rsid w:val="00C151F5"/>
    <w:rsid w:val="00C2224A"/>
    <w:rsid w:val="00C3007A"/>
    <w:rsid w:val="00C3248B"/>
    <w:rsid w:val="00C45F41"/>
    <w:rsid w:val="00C6043B"/>
    <w:rsid w:val="00C6432A"/>
    <w:rsid w:val="00C65B2C"/>
    <w:rsid w:val="00C673BE"/>
    <w:rsid w:val="00C81989"/>
    <w:rsid w:val="00C83B88"/>
    <w:rsid w:val="00CA3686"/>
    <w:rsid w:val="00CB1B5B"/>
    <w:rsid w:val="00CB4CD8"/>
    <w:rsid w:val="00CB78D6"/>
    <w:rsid w:val="00CD233E"/>
    <w:rsid w:val="00CF37B8"/>
    <w:rsid w:val="00CF6CFD"/>
    <w:rsid w:val="00D11838"/>
    <w:rsid w:val="00D421E7"/>
    <w:rsid w:val="00D5655E"/>
    <w:rsid w:val="00D60E19"/>
    <w:rsid w:val="00D76285"/>
    <w:rsid w:val="00D83C15"/>
    <w:rsid w:val="00D86E40"/>
    <w:rsid w:val="00D87AD8"/>
    <w:rsid w:val="00DC0C3E"/>
    <w:rsid w:val="00DC16AE"/>
    <w:rsid w:val="00DC377F"/>
    <w:rsid w:val="00DD16E4"/>
    <w:rsid w:val="00DD7E08"/>
    <w:rsid w:val="00DE4362"/>
    <w:rsid w:val="00DE4FE2"/>
    <w:rsid w:val="00E009BF"/>
    <w:rsid w:val="00E04908"/>
    <w:rsid w:val="00E1313A"/>
    <w:rsid w:val="00E1348A"/>
    <w:rsid w:val="00E13652"/>
    <w:rsid w:val="00E23718"/>
    <w:rsid w:val="00E32E92"/>
    <w:rsid w:val="00E36B40"/>
    <w:rsid w:val="00E45193"/>
    <w:rsid w:val="00E50D64"/>
    <w:rsid w:val="00E5254A"/>
    <w:rsid w:val="00E70D49"/>
    <w:rsid w:val="00E827D8"/>
    <w:rsid w:val="00E83787"/>
    <w:rsid w:val="00E83846"/>
    <w:rsid w:val="00E849FC"/>
    <w:rsid w:val="00E915CD"/>
    <w:rsid w:val="00EA2570"/>
    <w:rsid w:val="00EB3870"/>
    <w:rsid w:val="00EC5EE1"/>
    <w:rsid w:val="00EC77AF"/>
    <w:rsid w:val="00EC7C49"/>
    <w:rsid w:val="00EE6687"/>
    <w:rsid w:val="00F1428D"/>
    <w:rsid w:val="00F33EF2"/>
    <w:rsid w:val="00F5493C"/>
    <w:rsid w:val="00F56A66"/>
    <w:rsid w:val="00F64891"/>
    <w:rsid w:val="00F67CDB"/>
    <w:rsid w:val="00FA3662"/>
    <w:rsid w:val="00FC32B2"/>
    <w:rsid w:val="00FC34AF"/>
    <w:rsid w:val="00FD1D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3A599FB7"/>
  <w15:chartTrackingRefBased/>
  <w15:docId w15:val="{AA7F3375-1C32-4D11-A6E2-74A04CA1C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3744"/>
    <w:pPr>
      <w:suppressAutoHyphens/>
    </w:p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4063DE"/>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rsid w:val="004063DE"/>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752D6D"/>
    <w:pPr>
      <w:spacing w:before="840" w:after="120"/>
      <w:ind w:left="4111"/>
    </w:pPr>
    <w:rPr>
      <w:rFonts w:asciiTheme="majorHAnsi" w:eastAsiaTheme="majorEastAsia" w:hAnsiTheme="majorHAnsi" w:cstheme="majorBidi"/>
      <w:b/>
      <w:sz w:val="52"/>
      <w:szCs w:val="56"/>
    </w:rPr>
  </w:style>
  <w:style w:type="character" w:customStyle="1" w:styleId="TitleChar">
    <w:name w:val="Title Char"/>
    <w:basedOn w:val="DefaultParagraphFont"/>
    <w:link w:val="Title"/>
    <w:uiPriority w:val="17"/>
    <w:rsid w:val="00752D6D"/>
    <w:rPr>
      <w:rFonts w:asciiTheme="majorHAnsi" w:eastAsiaTheme="majorEastAsia" w:hAnsiTheme="majorHAnsi" w:cstheme="majorBidi"/>
      <w:b/>
      <w:sz w:val="52"/>
      <w:szCs w:val="56"/>
    </w:rPr>
  </w:style>
  <w:style w:type="paragraph" w:styleId="Subtitle">
    <w:name w:val="Subtitle"/>
    <w:basedOn w:val="CoverDate"/>
    <w:next w:val="Normal"/>
    <w:link w:val="SubtitleChar"/>
    <w:uiPriority w:val="18"/>
    <w:qFormat/>
    <w:rsid w:val="00AE5D71"/>
    <w:pPr>
      <w:spacing w:before="840"/>
      <w:ind w:left="284"/>
    </w:pPr>
    <w:rPr>
      <w:rFonts w:asciiTheme="majorHAnsi" w:eastAsiaTheme="minorEastAsia" w:hAnsiTheme="majorHAnsi"/>
      <w:bCs/>
      <w:color w:val="FFFFFF" w:themeColor="background1"/>
      <w:sz w:val="28"/>
    </w:rPr>
  </w:style>
  <w:style w:type="character" w:customStyle="1" w:styleId="SubtitleChar">
    <w:name w:val="Subtitle Char"/>
    <w:basedOn w:val="DefaultParagraphFont"/>
    <w:link w:val="Subtitle"/>
    <w:uiPriority w:val="18"/>
    <w:rsid w:val="00AE5D71"/>
    <w:rPr>
      <w:rFonts w:asciiTheme="majorHAnsi" w:eastAsiaTheme="minorEastAsia" w:hAnsiTheme="majorHAnsi"/>
      <w:b/>
      <w:bCs/>
      <w:color w:val="FFFFFF" w:themeColor="background1"/>
      <w:sz w:val="28"/>
    </w:rPr>
  </w:style>
  <w:style w:type="paragraph" w:customStyle="1" w:styleId="CoverDate">
    <w:name w:val="Cover Date"/>
    <w:basedOn w:val="Normal"/>
    <w:uiPriority w:val="19"/>
    <w:qFormat/>
    <w:rsid w:val="003261CF"/>
    <w:rPr>
      <w:b/>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3261CF"/>
    <w:pPr>
      <w:spacing w:before="240" w:after="240"/>
    </w:pPr>
    <w:rPr>
      <w:color w:val="377B88"/>
      <w:sz w:val="26"/>
      <w:lang w:val="x-none"/>
    </w:rPr>
  </w:style>
  <w:style w:type="character" w:customStyle="1" w:styleId="Heading3Char">
    <w:name w:val="Heading 3 Char"/>
    <w:basedOn w:val="DefaultParagraphFont"/>
    <w:link w:val="Heading3"/>
    <w:uiPriority w:val="9"/>
    <w:rsid w:val="004063DE"/>
    <w:rPr>
      <w:rFonts w:asciiTheme="majorHAnsi" w:eastAsiaTheme="majorEastAsia" w:hAnsiTheme="majorHAnsi" w:cstheme="majorBidi"/>
      <w:b/>
      <w:color w:val="6D7989" w:themeColor="accent4" w:themeShade="BF"/>
      <w:sz w:val="32"/>
      <w:szCs w:val="24"/>
    </w:rPr>
  </w:style>
  <w:style w:type="character" w:customStyle="1" w:styleId="Heading4Char">
    <w:name w:val="Heading 4 Char"/>
    <w:basedOn w:val="DefaultParagraphFont"/>
    <w:link w:val="Heading4"/>
    <w:uiPriority w:val="9"/>
    <w:rsid w:val="004063DE"/>
    <w:rPr>
      <w:rFonts w:asciiTheme="majorHAnsi" w:eastAsiaTheme="majorEastAsia" w:hAnsiTheme="majorHAnsi" w:cstheme="majorBidi"/>
      <w:b/>
      <w:iCs/>
      <w:color w:val="49515C" w:themeColor="accent4" w:themeShade="80"/>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9D7CCE"/>
    <w:pPr>
      <w:numPr>
        <w:numId w:val="27"/>
      </w:numPr>
      <w:spacing w:before="80"/>
    </w:pPr>
    <w:rPr>
      <w:kern w:val="12"/>
      <w:sz w:val="20"/>
      <w:szCs w:val="20"/>
    </w:rPr>
  </w:style>
  <w:style w:type="paragraph" w:customStyle="1" w:styleId="Box2Text">
    <w:name w:val="Box 2 Text"/>
    <w:basedOn w:val="Normal"/>
    <w:uiPriority w:val="24"/>
    <w:qFormat/>
    <w:rsid w:val="009D7CCE"/>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9D7CCE"/>
    <w:pPr>
      <w:numPr>
        <w:ilvl w:val="1"/>
        <w:numId w:val="27"/>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B06D96"/>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B06D96"/>
    <w:rPr>
      <w:b/>
      <w:iCs/>
      <w:color w:val="404040" w:themeColor="text1" w:themeTint="BF"/>
    </w:rPr>
  </w:style>
  <w:style w:type="paragraph" w:styleId="TOC1">
    <w:name w:val="toc 1"/>
    <w:basedOn w:val="Normal"/>
    <w:next w:val="Normal"/>
    <w:autoRedefine/>
    <w:uiPriority w:val="39"/>
    <w:rsid w:val="00291050"/>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99"/>
    <w:unhideWhenUsed/>
    <w:rsid w:val="006E1ECA"/>
    <w:pPr>
      <w:spacing w:before="80"/>
    </w:pPr>
  </w:style>
  <w:style w:type="paragraph" w:customStyle="1" w:styleId="AreaHeading">
    <w:name w:val="Area Heading"/>
    <w:basedOn w:val="Normal"/>
    <w:qFormat/>
    <w:rsid w:val="004063DE"/>
    <w:pPr>
      <w:spacing w:before="0"/>
      <w:ind w:left="-1020" w:firstLine="1020"/>
    </w:pPr>
    <w:rPr>
      <w:rFonts w:cs="Times New Roman (Body CS)"/>
      <w:caps/>
      <w:color w:val="49515C" w:themeColor="accent4" w:themeShade="80"/>
    </w:rPr>
  </w:style>
  <w:style w:type="paragraph" w:customStyle="1" w:styleId="Box2Checklist">
    <w:name w:val="Box 2 Checklist"/>
    <w:basedOn w:val="Box2Text"/>
    <w:uiPriority w:val="26"/>
    <w:qFormat/>
    <w:rsid w:val="009D7CCE"/>
    <w:pPr>
      <w:numPr>
        <w:ilvl w:val="2"/>
        <w:numId w:val="27"/>
      </w:numPr>
    </w:pPr>
    <w:rPr>
      <w:kern w:val="12"/>
      <w:sz w:val="20"/>
      <w:szCs w:val="20"/>
    </w:rPr>
  </w:style>
  <w:style w:type="numbering" w:customStyle="1" w:styleId="BoxedBullets">
    <w:name w:val="Boxed Bullets"/>
    <w:uiPriority w:val="99"/>
    <w:rsid w:val="009D7CCE"/>
    <w:pPr>
      <w:numPr>
        <w:numId w:val="24"/>
      </w:numPr>
    </w:pPr>
  </w:style>
  <w:style w:type="paragraph" w:customStyle="1" w:styleId="SecurityMarker">
    <w:name w:val="Security Marker"/>
    <w:basedOn w:val="Normal"/>
    <w:qFormat/>
    <w:rsid w:val="00827492"/>
    <w:pPr>
      <w:spacing w:before="60" w:after="60"/>
      <w:ind w:left="-1247"/>
      <w:jc w:val="center"/>
    </w:pPr>
    <w:rPr>
      <w:b/>
      <w:bCs/>
      <w:caps/>
      <w:color w:val="E10000"/>
      <w:sz w:val="28"/>
      <w:szCs w:val="28"/>
    </w:rPr>
  </w:style>
  <w:style w:type="character" w:styleId="FollowedHyperlink">
    <w:name w:val="FollowedHyperlink"/>
    <w:basedOn w:val="DefaultParagraphFont"/>
    <w:uiPriority w:val="99"/>
    <w:semiHidden/>
    <w:unhideWhenUsed/>
    <w:rsid w:val="00216AED"/>
    <w:rPr>
      <w:color w:val="0046FF" w:themeColor="followedHyperlink"/>
      <w:u w:val="single"/>
    </w:rPr>
  </w:style>
  <w:style w:type="character" w:styleId="CommentReference">
    <w:name w:val="annotation reference"/>
    <w:basedOn w:val="DefaultParagraphFont"/>
    <w:uiPriority w:val="99"/>
    <w:semiHidden/>
    <w:unhideWhenUsed/>
    <w:rsid w:val="00666D51"/>
    <w:rPr>
      <w:sz w:val="16"/>
      <w:szCs w:val="16"/>
    </w:rPr>
  </w:style>
  <w:style w:type="paragraph" w:styleId="CommentText">
    <w:name w:val="annotation text"/>
    <w:basedOn w:val="Normal"/>
    <w:link w:val="CommentTextChar"/>
    <w:uiPriority w:val="99"/>
    <w:semiHidden/>
    <w:unhideWhenUsed/>
    <w:rsid w:val="00666D51"/>
    <w:rPr>
      <w:sz w:val="20"/>
      <w:szCs w:val="20"/>
    </w:rPr>
  </w:style>
  <w:style w:type="character" w:customStyle="1" w:styleId="CommentTextChar">
    <w:name w:val="Comment Text Char"/>
    <w:basedOn w:val="DefaultParagraphFont"/>
    <w:link w:val="CommentText"/>
    <w:uiPriority w:val="99"/>
    <w:semiHidden/>
    <w:rsid w:val="00666D51"/>
    <w:rPr>
      <w:sz w:val="20"/>
      <w:szCs w:val="20"/>
    </w:rPr>
  </w:style>
  <w:style w:type="paragraph" w:styleId="CommentSubject">
    <w:name w:val="annotation subject"/>
    <w:basedOn w:val="CommentText"/>
    <w:next w:val="CommentText"/>
    <w:link w:val="CommentSubjectChar"/>
    <w:uiPriority w:val="99"/>
    <w:semiHidden/>
    <w:unhideWhenUsed/>
    <w:rsid w:val="00666D51"/>
    <w:rPr>
      <w:b/>
      <w:bCs/>
    </w:rPr>
  </w:style>
  <w:style w:type="character" w:customStyle="1" w:styleId="CommentSubjectChar">
    <w:name w:val="Comment Subject Char"/>
    <w:basedOn w:val="CommentTextChar"/>
    <w:link w:val="CommentSubject"/>
    <w:uiPriority w:val="99"/>
    <w:semiHidden/>
    <w:rsid w:val="00666D51"/>
    <w:rPr>
      <w:b/>
      <w:bCs/>
      <w:sz w:val="20"/>
      <w:szCs w:val="20"/>
    </w:rPr>
  </w:style>
  <w:style w:type="paragraph" w:styleId="BalloonText">
    <w:name w:val="Balloon Text"/>
    <w:basedOn w:val="Normal"/>
    <w:link w:val="BalloonTextChar"/>
    <w:uiPriority w:val="99"/>
    <w:semiHidden/>
    <w:unhideWhenUsed/>
    <w:rsid w:val="00666D51"/>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D51"/>
    <w:rPr>
      <w:rFonts w:ascii="Segoe UI" w:hAnsi="Segoe UI" w:cs="Segoe UI"/>
      <w:sz w:val="18"/>
      <w:szCs w:val="18"/>
    </w:rPr>
  </w:style>
  <w:style w:type="paragraph" w:styleId="ListParagraph">
    <w:name w:val="List Paragraph"/>
    <w:basedOn w:val="Normal"/>
    <w:uiPriority w:val="34"/>
    <w:unhideWhenUsed/>
    <w:qFormat/>
    <w:rsid w:val="000075AC"/>
    <w:pPr>
      <w:ind w:left="720"/>
      <w:contextualSpacing/>
    </w:pPr>
  </w:style>
  <w:style w:type="paragraph" w:styleId="Revision">
    <w:name w:val="Revision"/>
    <w:hidden/>
    <w:uiPriority w:val="99"/>
    <w:semiHidden/>
    <w:rsid w:val="00637A1E"/>
    <w:pPr>
      <w:spacing w:before="0" w:after="0"/>
    </w:pPr>
  </w:style>
  <w:style w:type="character" w:styleId="UnresolvedMention">
    <w:name w:val="Unresolved Mention"/>
    <w:basedOn w:val="DefaultParagraphFont"/>
    <w:uiPriority w:val="99"/>
    <w:semiHidden/>
    <w:unhideWhenUsed/>
    <w:rsid w:val="00F648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937659">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9697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image" Target="media/image3.png"/><Relationship Id="rId26" Type="http://schemas.openxmlformats.org/officeDocument/2006/relationships/header" Target="header5.xml"/><Relationship Id="rId39"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www.freightaustralia.gov.au" TargetMode="External"/><Relationship Id="rId34" Type="http://schemas.openxmlformats.org/officeDocument/2006/relationships/image" Target="media/image12.svg"/><Relationship Id="rId42" Type="http://schemas.openxmlformats.org/officeDocument/2006/relationships/theme" Target="theme/theme1.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footer" Target="footer2.xml"/><Relationship Id="rId25" Type="http://schemas.openxmlformats.org/officeDocument/2006/relationships/header" Target="header4.xml"/><Relationship Id="rId33" Type="http://schemas.openxmlformats.org/officeDocument/2006/relationships/image" Target="media/image11.png"/><Relationship Id="rId38"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mailto:freightstrategy@infrastructure.gov.au" TargetMode="External"/><Relationship Id="rId29" Type="http://schemas.openxmlformats.org/officeDocument/2006/relationships/image" Target="media/image7.png"/><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4.png"/><Relationship Id="rId32" Type="http://schemas.openxmlformats.org/officeDocument/2006/relationships/image" Target="media/image10.svg"/><Relationship Id="rId37" Type="http://schemas.openxmlformats.org/officeDocument/2006/relationships/image" Target="media/image15.png"/><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3.xml"/><Relationship Id="rId28" Type="http://schemas.openxmlformats.org/officeDocument/2006/relationships/image" Target="media/image6.svg"/><Relationship Id="rId36" Type="http://schemas.openxmlformats.org/officeDocument/2006/relationships/image" Target="media/image14.svg"/><Relationship Id="rId10" Type="http://schemas.openxmlformats.org/officeDocument/2006/relationships/endnotes" Target="endnotes.xml"/><Relationship Id="rId19" Type="http://schemas.openxmlformats.org/officeDocument/2006/relationships/hyperlink" Target="http://www.pmc.gov.au/" TargetMode="External"/><Relationship Id="rId31"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3.xml"/><Relationship Id="rId27" Type="http://schemas.openxmlformats.org/officeDocument/2006/relationships/image" Target="media/image5.png"/><Relationship Id="rId30" Type="http://schemas.openxmlformats.org/officeDocument/2006/relationships/image" Target="media/image8.svg"/><Relationship Id="rId35" Type="http://schemas.openxmlformats.org/officeDocument/2006/relationships/image" Target="media/image13.png"/></Relationships>
</file>

<file path=word/_rels/footnotes.xml.rels><?xml version="1.0" encoding="UTF-8" standalone="yes"?>
<Relationships xmlns="http://schemas.openxmlformats.org/package/2006/relationships"><Relationship Id="rId2" Type="http://schemas.openxmlformats.org/officeDocument/2006/relationships/hyperlink" Target="https://www.infrastructure.gov.au/infrastructure-transport-vehicles/transport-strategy-policy/office-future-transport-technology" TargetMode="External"/><Relationship Id="rId1" Type="http://schemas.openxmlformats.org/officeDocument/2006/relationships/hyperlink" Target="https://www.abs.gov.au/statistics/industry/industry-overview/estimates-industry-multifactor-productivity/2021-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urphy\Downloads\INFRA6332%20National%20Freight%20&amp;%20Supply%20Chain%20Strategy%20Action%20Plan_Template_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57F56C4D43A4FD9984143803A0D831C"/>
        <w:category>
          <w:name w:val="General"/>
          <w:gallery w:val="placeholder"/>
        </w:category>
        <w:types>
          <w:type w:val="bbPlcHdr"/>
        </w:types>
        <w:behaviors>
          <w:behavior w:val="content"/>
        </w:behaviors>
        <w:guid w:val="{CDAC8AF5-DFE0-4B49-8537-8C255676CAAF}"/>
      </w:docPartPr>
      <w:docPartBody>
        <w:p w:rsidR="00AD3C0A" w:rsidRDefault="00AD3C0A">
          <w:pPr>
            <w:pStyle w:val="257F56C4D43A4FD9984143803A0D831C"/>
          </w:pPr>
          <w:r w:rsidRPr="00EC51DD">
            <w:rPr>
              <w:rStyle w:val="PlaceholderText"/>
            </w:rPr>
            <w:t>[Title]</w:t>
          </w:r>
        </w:p>
      </w:docPartBody>
    </w:docPart>
    <w:docPart>
      <w:docPartPr>
        <w:name w:val="DA1CC325DB2847E4857055B3B541CC16"/>
        <w:category>
          <w:name w:val="General"/>
          <w:gallery w:val="placeholder"/>
        </w:category>
        <w:types>
          <w:type w:val="bbPlcHdr"/>
        </w:types>
        <w:behaviors>
          <w:behavior w:val="content"/>
        </w:behaviors>
        <w:guid w:val="{2D2E5EEC-AAEA-4AC3-BE4F-28A3A74009A4}"/>
      </w:docPartPr>
      <w:docPartBody>
        <w:p w:rsidR="00AD3C0A" w:rsidRDefault="00AD3C0A">
          <w:pPr>
            <w:pStyle w:val="DA1CC325DB2847E4857055B3B541CC16"/>
          </w:pPr>
          <w:r w:rsidRPr="00EC51DD">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C0A"/>
    <w:rsid w:val="000C7A50"/>
    <w:rsid w:val="000E3474"/>
    <w:rsid w:val="00107BF8"/>
    <w:rsid w:val="001661D5"/>
    <w:rsid w:val="00590DBA"/>
    <w:rsid w:val="005A2E1D"/>
    <w:rsid w:val="006A6950"/>
    <w:rsid w:val="00780C25"/>
    <w:rsid w:val="00A87A11"/>
    <w:rsid w:val="00AD3C0A"/>
    <w:rsid w:val="00CD0161"/>
    <w:rsid w:val="00D371AD"/>
    <w:rsid w:val="00F81EAE"/>
    <w:rsid w:val="00FB50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1411574E97F4B9B9F9D24C7F70A835C">
    <w:name w:val="81411574E97F4B9B9F9D24C7F70A835C"/>
  </w:style>
  <w:style w:type="paragraph" w:customStyle="1" w:styleId="257F56C4D43A4FD9984143803A0D831C">
    <w:name w:val="257F56C4D43A4FD9984143803A0D831C"/>
  </w:style>
  <w:style w:type="paragraph" w:customStyle="1" w:styleId="DA1CC325DB2847E4857055B3B541CC16">
    <w:name w:val="DA1CC325DB2847E4857055B3B541CC16"/>
  </w:style>
  <w:style w:type="paragraph" w:customStyle="1" w:styleId="B65CEA28C87F4C7A92FA64ADB44357C3">
    <w:name w:val="B65CEA28C87F4C7A92FA64ADB44357C3"/>
  </w:style>
  <w:style w:type="paragraph" w:customStyle="1" w:styleId="18D2E628B58F412CA8460744847F88ED">
    <w:name w:val="18D2E628B58F412CA8460744847F88ED"/>
  </w:style>
  <w:style w:type="paragraph" w:customStyle="1" w:styleId="B72F049231E44986B07A49B9959C576C">
    <w:name w:val="B72F049231E44986B07A49B9959C576C"/>
  </w:style>
  <w:style w:type="paragraph" w:customStyle="1" w:styleId="EEFC140F20284BE6A59582BC4BF41440">
    <w:name w:val="EEFC140F20284BE6A59582BC4BF41440"/>
  </w:style>
  <w:style w:type="paragraph" w:customStyle="1" w:styleId="3497A91A953D4A0886D2E7ED4C632A66">
    <w:name w:val="3497A91A953D4A0886D2E7ED4C632A66"/>
  </w:style>
  <w:style w:type="paragraph" w:customStyle="1" w:styleId="9EB22C27BC4A4C2892CD553055617381">
    <w:name w:val="9EB22C27BC4A4C2892CD553055617381"/>
  </w:style>
  <w:style w:type="paragraph" w:customStyle="1" w:styleId="8AC42016CA804E199819C020608E84ED">
    <w:name w:val="8AC42016CA804E199819C020608E84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2025-01-01T00:00:00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04C2ED6474624087625D5BC8BDA46B" ma:contentTypeVersion="9" ma:contentTypeDescription="Create a new document." ma:contentTypeScope="" ma:versionID="9b55e86ec32ddf62e867b6ff51eb1982">
  <xsd:schema xmlns:xsd="http://www.w3.org/2001/XMLSchema" xmlns:xs="http://www.w3.org/2001/XMLSchema" xmlns:p="http://schemas.microsoft.com/office/2006/metadata/properties" xmlns:ns2="b3b9b181-06e0-4268-af22-c6840c33967c" xmlns:ns3="40b89a2c-dbe8-4aa4-bd74-be5189addec4" targetNamespace="http://schemas.microsoft.com/office/2006/metadata/properties" ma:root="true" ma:fieldsID="59add822de70a2ee165fa5d5abf4bd24" ns2:_="" ns3:_="">
    <xsd:import namespace="b3b9b181-06e0-4268-af22-c6840c33967c"/>
    <xsd:import namespace="40b89a2c-dbe8-4aa4-bd74-be5189addec4"/>
    <xsd:element name="properties">
      <xsd:complexType>
        <xsd:sequence>
          <xsd:element name="documentManagement">
            <xsd:complexType>
              <xsd:all>
                <xsd:element ref="ns2:RecordNumber" minOccurs="0"/>
                <xsd:element ref="ns2:g7a2f445ab5e4aa2ad49ebf38fd81cc6" minOccurs="0"/>
                <xsd:element ref="ns2:TaxCatchAll" minOccurs="0"/>
                <xsd:element ref="ns2:TaxCatchAllLabel" minOccurs="0"/>
                <xsd:element ref="ns2:ne6d73d4a8b14472a6a14c195f235605" minOccurs="0"/>
                <xsd:element ref="ns2:Destroy Item46" minOccurs="0"/>
                <xsd:element ref="ns2:Justification for Destruction47" minOccurs="0"/>
                <xsd:element ref="ns2:Document_x0020_SP_x0020_Type" minOccurs="0"/>
                <xsd:element ref="ns2:SharedWithUsers" minOccurs="0"/>
                <xsd:element ref="ns2:SharedWithDetails" minOccurs="0"/>
                <xsd:element ref="ns3:Project_x0020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9b181-06e0-4268-af22-c6840c33967c"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xsd:simpleType>
        <xsd:restriction base="dms:Text"/>
      </xsd:simpleType>
    </xsd:element>
    <xsd:element name="g7a2f445ab5e4aa2ad49ebf38fd81cc6" ma:index="9" ma:taxonomy="true" ma:internalName="g7a2f445ab5e4aa2ad49ebf38fd81cc6" ma:taxonomyFieldName="Security_x0020_Classification" ma:displayName="Security Classification" ma:readOnly="false" ma:default="1;#OFFICIAL|66ee57a8-59d0-46bc-a5fc-78440ee0cf81" ma:fieldId="{07a2f445-ab5e-4aa2-ad49-ebf38fd81cc6}" ma:sspId="0483e4a5-f0f6-4ded-b0bb-00a90fd4cf8b" ma:termSetId="d697d180-c653-44a1-a6e2-69709aabde2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b652d38-8c68-4034-afbd-1c7523511a25}" ma:internalName="TaxCatchAll" ma:showField="CatchAllData" ma:web="b3b9b181-06e0-4268-af22-c6840c33967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b652d38-8c68-4034-afbd-1c7523511a25}" ma:internalName="TaxCatchAllLabel" ma:readOnly="true" ma:showField="CatchAllDataLabel" ma:web="b3b9b181-06e0-4268-af22-c6840c33967c">
      <xsd:complexType>
        <xsd:complexContent>
          <xsd:extension base="dms:MultiChoiceLookup">
            <xsd:sequence>
              <xsd:element name="Value" type="dms:Lookup" maxOccurs="unbounded" minOccurs="0" nillable="true"/>
            </xsd:sequence>
          </xsd:extension>
        </xsd:complexContent>
      </xsd:complexType>
    </xsd:element>
    <xsd:element name="ne6d73d4a8b14472a6a14c195f235605" ma:index="13" nillable="true" ma:taxonomy="true" ma:internalName="ne6d73d4a8b14472a6a14c195f235605" ma:taxonomyFieldName="Information_x0020_Management_x0020_Marker" ma:displayName="Information Management Marker" ma:default="" ma:fieldId="{7e6d73d4-a8b1-4472-a6a1-4c195f235605}" ma:sspId="0483e4a5-f0f6-4ded-b0bb-00a90fd4cf8b" ma:termSetId="44e0cffd-acf4-44de-87a1-d4e578541bbf" ma:anchorId="00000000-0000-0000-0000-000000000000" ma:open="false" ma:isKeyword="false">
      <xsd:complexType>
        <xsd:sequence>
          <xsd:element ref="pc:Terms" minOccurs="0" maxOccurs="1"/>
        </xsd:sequence>
      </xsd:complexType>
    </xsd:element>
    <xsd:element name="Destroy Item46" ma:index="15" nillable="true" ma:displayName="Destroy Item" ma:internalName="Destroy_x0020_Item46">
      <xsd:simpleType>
        <xsd:restriction base="dms:Boolean"/>
      </xsd:simpleType>
    </xsd:element>
    <xsd:element name="Justification for Destruction47" ma:index="16" nillable="true" ma:displayName="Justification for Destruction" ma:internalName="Justification_x0020_for_x0020_Destruction47">
      <xsd:simpleType>
        <xsd:restriction base="dms:Text"/>
      </xsd:simpleType>
    </xsd:element>
    <xsd:element name="Document_x0020_SP_x0020_Type" ma:index="17" nillable="true" ma:displayName="Document SP Type" ma:default="Document" ma:internalName="Document_x0020_SP_x0020_Type">
      <xsd:simpleType>
        <xsd:restriction base="dms:Text">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b89a2c-dbe8-4aa4-bd74-be5189addec4" elementFormDefault="qualified">
    <xsd:import namespace="http://schemas.microsoft.com/office/2006/documentManagement/types"/>
    <xsd:import namespace="http://schemas.microsoft.com/office/infopath/2007/PartnerControls"/>
    <xsd:element name="Project_x0020_activity" ma:index="21" nillable="true" ma:displayName="Project activity" ma:default="None" ma:description="Document types/phases of the project" ma:internalName="Project_x0020_activit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C9BB2B-4515-4C2E-8488-8FD69A15DB81}">
  <ds:schemaRefs>
    <ds:schemaRef ds:uri="http://schemas.microsoft.com/sharepoint/v3/contenttype/forms"/>
  </ds:schemaRefs>
</ds:datastoreItem>
</file>

<file path=customXml/itemProps3.xml><?xml version="1.0" encoding="utf-8"?>
<ds:datastoreItem xmlns:ds="http://schemas.openxmlformats.org/officeDocument/2006/customXml" ds:itemID="{2E565E30-B6BA-43B3-84F1-D398C036B8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b9b181-06e0-4268-af22-c6840c33967c"/>
    <ds:schemaRef ds:uri="40b89a2c-dbe8-4aa4-bd74-be5189adde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67CB60-CD3F-4BB8-8672-C2A14F271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INFRA6332 National Freight &amp; Supply Chain Strategy Action Plan_Template_01.dotx</Template>
  <TotalTime>3196</TotalTime>
  <Pages>17</Pages>
  <Words>4478</Words>
  <Characters>25528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National Freight and Supply Chain Strategy</vt:lpstr>
    </vt:vector>
  </TitlesOfParts>
  <Manager/>
  <Company>Department of Infrastructure &amp; Regional Development</Company>
  <LinksUpToDate>false</LinksUpToDate>
  <CharactersWithSpaces>29947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Freight and Supply Chain Strategy</dc:title>
  <dc:subject>National Action Plan 2024-2029</dc:subject>
  <dc:creator>MURPHY Adrian</dc:creator>
  <cp:keywords>INFRA6332</cp:keywords>
  <dc:description/>
  <cp:lastModifiedBy>MURPHY, Adrian</cp:lastModifiedBy>
  <cp:revision>61</cp:revision>
  <cp:lastPrinted>2024-11-25T00:26:00Z</cp:lastPrinted>
  <dcterms:created xsi:type="dcterms:W3CDTF">2024-09-24T01:14:00Z</dcterms:created>
  <dcterms:modified xsi:type="dcterms:W3CDTF">2025-08-15T00:24:00Z</dcterms:modified>
  <cp:category/>
  <cp:contentStatus>OFFICIAL / OFFICIAL: SENSITIVE / PROTECTEDSELECT THE CLASSIFICATION MARKER ABOVE THAT APPLIES TO YOUR DOCUMENT, THEN DELETE THE OTHERS AND THIS TEXT&gt;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0x0101005204C2ED6474624087625D5BC8BDA46B</vt:lpwstr>
  </property>
</Properties>
</file>