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4DB54" w14:textId="4E7ADBD5" w:rsidR="009A2037" w:rsidRDefault="006C62E9" w:rsidP="009A2037">
      <w:r>
        <w:rPr>
          <w:noProof/>
        </w:rPr>
        <w:drawing>
          <wp:inline distT="0" distB="0" distL="0" distR="0" wp14:anchorId="5A5052DE" wp14:editId="6F0C98AC">
            <wp:extent cx="5731510" cy="728980"/>
            <wp:effectExtent l="0" t="0" r="2540" b="0"/>
            <wp:docPr id="1875394546" name="Picture 7" descr="National Freight and Supply Chain Strategy and Infrastructure and Transport Ministers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94546" name="Picture 7" descr="National Freight and Supply Chain Strategy and Infrastructure and Transport Ministers logo locku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28980"/>
                    </a:xfrm>
                    <a:prstGeom prst="rect">
                      <a:avLst/>
                    </a:prstGeom>
                  </pic:spPr>
                </pic:pic>
              </a:graphicData>
            </a:graphic>
          </wp:inline>
        </w:drawing>
      </w:r>
    </w:p>
    <w:sdt>
      <w:sdtPr>
        <w:alias w:val="Title"/>
        <w:tag w:val=""/>
        <w:id w:val="975726233"/>
        <w:placeholder>
          <w:docPart w:val="F9B2952976774081B64138B36F6920F5"/>
        </w:placeholder>
        <w:dataBinding w:prefixMappings="xmlns:ns0='http://purl.org/dc/elements/1.1/' xmlns:ns1='http://schemas.openxmlformats.org/package/2006/metadata/core-properties' " w:xpath="/ns1:coreProperties[1]/ns0:title[1]" w:storeItemID="{6C3C8BC8-F283-45AE-878A-BAB7291924A1}"/>
        <w:text/>
      </w:sdtPr>
      <w:sdtContent>
        <w:p w14:paraId="74B18466" w14:textId="77777777" w:rsidR="00582779" w:rsidRDefault="00582779" w:rsidP="009A2037">
          <w:pPr>
            <w:pStyle w:val="Title"/>
            <w:spacing w:before="1440"/>
          </w:pPr>
          <w:r>
            <w:t>National Freight and Supply Chain Strategy</w:t>
          </w:r>
        </w:p>
      </w:sdtContent>
    </w:sdt>
    <w:p w14:paraId="593143D9" w14:textId="77777777" w:rsidR="00582779" w:rsidRPr="00405285" w:rsidRDefault="00582779" w:rsidP="009A2037">
      <w:pPr>
        <w:pStyle w:val="Subtitle"/>
        <w:rPr>
          <w:rFonts w:eastAsiaTheme="minorEastAsia" w:cstheme="minorBidi"/>
          <w:color w:val="377B88"/>
          <w:sz w:val="44"/>
          <w:szCs w:val="22"/>
        </w:rPr>
      </w:pPr>
      <w:r w:rsidRPr="00405285">
        <w:rPr>
          <w:rFonts w:eastAsiaTheme="minorEastAsia" w:cstheme="minorBidi"/>
          <w:color w:val="377B88"/>
          <w:sz w:val="44"/>
          <w:szCs w:val="22"/>
        </w:rPr>
        <w:t>2024-25</w:t>
      </w:r>
      <w:r>
        <w:rPr>
          <w:rFonts w:eastAsiaTheme="minorEastAsia" w:cstheme="minorBidi"/>
          <w:color w:val="377B88"/>
          <w:sz w:val="44"/>
          <w:szCs w:val="22"/>
        </w:rPr>
        <w:t xml:space="preserve"> </w:t>
      </w:r>
      <w:r w:rsidRPr="00405285">
        <w:rPr>
          <w:rFonts w:eastAsiaTheme="minorEastAsia" w:cstheme="minorBidi"/>
          <w:color w:val="377B88"/>
          <w:sz w:val="44"/>
          <w:szCs w:val="22"/>
        </w:rPr>
        <w:t xml:space="preserve">Annual </w:t>
      </w:r>
      <w:r>
        <w:rPr>
          <w:rFonts w:eastAsiaTheme="minorEastAsia" w:cstheme="minorBidi"/>
          <w:color w:val="377B88"/>
          <w:sz w:val="44"/>
          <w:szCs w:val="22"/>
        </w:rPr>
        <w:t>R</w:t>
      </w:r>
      <w:r w:rsidRPr="00405285">
        <w:rPr>
          <w:rFonts w:eastAsiaTheme="minorEastAsia" w:cstheme="minorBidi"/>
          <w:color w:val="377B88"/>
          <w:sz w:val="44"/>
          <w:szCs w:val="22"/>
        </w:rPr>
        <w:t>eport</w:t>
      </w:r>
    </w:p>
    <w:sdt>
      <w:sdtPr>
        <w:alias w:val="Publish Date"/>
        <w:tag w:val=""/>
        <w:id w:val="452527336"/>
        <w:placeholder>
          <w:docPart w:val="B559C7E1F2524543B1F93F1D0AFF8303"/>
        </w:placeholder>
        <w:dataBinding w:prefixMappings="xmlns:ns0='http://schemas.microsoft.com/office/2006/coverPageProps' " w:xpath="/ns0:CoverPageProperties[1]/ns0:PublishDate[1]" w:storeItemID="{55AF091B-3C7A-41E3-B477-F2FDAA23CFDA}"/>
        <w:date w:fullDate="2026-06-17T00:00:00Z">
          <w:dateFormat w:val="MMMM yyyy"/>
          <w:lid w:val="en-AU"/>
          <w:storeMappedDataAs w:val="dateTime"/>
          <w:calendar w:val="gregorian"/>
        </w:date>
      </w:sdtPr>
      <w:sdtContent>
        <w:p w14:paraId="5204D358" w14:textId="7EB006D4" w:rsidR="00582779" w:rsidRDefault="00582779" w:rsidP="009A2037">
          <w:pPr>
            <w:pStyle w:val="CoverDate"/>
          </w:pPr>
          <w:r>
            <w:t>June 2026</w:t>
          </w:r>
        </w:p>
      </w:sdtContent>
    </w:sdt>
    <w:p w14:paraId="387D95A0" w14:textId="44E2266F" w:rsidR="00B54E13" w:rsidRDefault="00582779" w:rsidP="0024408C">
      <w:pPr>
        <w:jc w:val="right"/>
        <w:sectPr w:rsidR="00B54E13" w:rsidSect="00BA24FB">
          <w:headerReference w:type="even" r:id="rId12"/>
          <w:footerReference w:type="even" r:id="rId13"/>
          <w:footerReference w:type="default" r:id="rId14"/>
          <w:headerReference w:type="first" r:id="rId15"/>
          <w:footerReference w:type="first" r:id="rId16"/>
          <w:pgSz w:w="11906" w:h="16838" w:code="9"/>
          <w:pgMar w:top="1021" w:right="1021" w:bottom="1021" w:left="1021" w:header="340" w:footer="397" w:gutter="0"/>
          <w:cols w:space="708"/>
          <w:docGrid w:linePitch="360"/>
        </w:sectPr>
      </w:pPr>
      <w:r>
        <w:rPr>
          <w:noProof/>
          <w:lang w:eastAsia="en-AU"/>
        </w:rPr>
        <w:drawing>
          <wp:inline distT="0" distB="0" distL="0" distR="0" wp14:anchorId="6639F430" wp14:editId="5859C335">
            <wp:extent cx="6263640" cy="3095604"/>
            <wp:effectExtent l="0" t="0" r="381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63640" cy="3095604"/>
                    </a:xfrm>
                    <a:prstGeom prst="rect">
                      <a:avLst/>
                    </a:prstGeom>
                  </pic:spPr>
                </pic:pic>
              </a:graphicData>
            </a:graphic>
          </wp:inline>
        </w:drawing>
      </w:r>
    </w:p>
    <w:p w14:paraId="689E874A" w14:textId="24B9216A" w:rsidR="00657CF8" w:rsidRDefault="00657CF8" w:rsidP="002D01AA">
      <w:pPr>
        <w:pStyle w:val="NoSpacing"/>
        <w:spacing w:before="80"/>
      </w:pPr>
      <w:r>
        <w:lastRenderedPageBreak/>
        <w:t>Cover image: Sourced from Adobe Stock photos. Credit: Travel mania.</w:t>
      </w:r>
    </w:p>
    <w:p w14:paraId="61C1DCE1" w14:textId="720FFD0E" w:rsidR="00A33BCA" w:rsidRDefault="00A33BCA" w:rsidP="002D01AA">
      <w:pPr>
        <w:pStyle w:val="NoSpacing"/>
        <w:spacing w:before="80"/>
      </w:pPr>
      <w:r>
        <w:t xml:space="preserve">All other images sourced from </w:t>
      </w:r>
      <w:r w:rsidR="00A70D87" w:rsidRPr="00A70D87">
        <w:t>Department of Infrastructure, Transport, Regional Development, Communications, Sport and the Arts</w:t>
      </w:r>
    </w:p>
    <w:p w14:paraId="28D07850" w14:textId="1E3AD0B5" w:rsidR="002D01AA" w:rsidRPr="000E5674" w:rsidRDefault="002D01AA" w:rsidP="002D01AA">
      <w:pPr>
        <w:pStyle w:val="NoSpacing"/>
        <w:spacing w:before="80"/>
      </w:pPr>
      <w:r w:rsidRPr="000E5674">
        <w:t>© Commonwealth of Australia 202</w:t>
      </w:r>
      <w:r w:rsidR="00762C8B">
        <w:t>6</w:t>
      </w:r>
    </w:p>
    <w:p w14:paraId="60A461F0" w14:textId="41683452" w:rsidR="002D01AA" w:rsidRPr="000E5674" w:rsidRDefault="00000000" w:rsidP="002D01AA">
      <w:pPr>
        <w:pStyle w:val="NoSpacing"/>
        <w:spacing w:before="80"/>
      </w:pPr>
      <w:sdt>
        <w:sdtPr>
          <w:id w:val="252944584"/>
          <w:placeholder>
            <w:docPart w:val="C125AD01FF154F07A83BF8EF5961DB4F"/>
          </w:placeholder>
        </w:sdtPr>
        <w:sdtContent>
          <w:r w:rsidR="00AB1889">
            <w:t xml:space="preserve">ISBN </w:t>
          </w:r>
          <w:r w:rsidR="00AB1889" w:rsidRPr="00AB1889">
            <w:t>978-1-923111-04-2</w:t>
          </w:r>
          <w:r w:rsidR="00AB1889">
            <w:t xml:space="preserve"> </w:t>
          </w:r>
        </w:sdtContent>
      </w:sdt>
      <w:r w:rsidR="002D01AA">
        <w:t xml:space="preserve"> </w:t>
      </w:r>
    </w:p>
    <w:p w14:paraId="1D4E1BF7" w14:textId="77777777" w:rsidR="002D01AA" w:rsidRPr="000E5674" w:rsidRDefault="002D01AA" w:rsidP="002D01AA">
      <w:pPr>
        <w:pStyle w:val="ImprintHeading"/>
        <w:spacing w:before="120" w:after="80"/>
      </w:pPr>
      <w:r w:rsidRPr="000E5674">
        <w:t>Ownership of intellectual property rights in this publication</w:t>
      </w:r>
    </w:p>
    <w:p w14:paraId="58939C29" w14:textId="77777777" w:rsidR="002D01AA" w:rsidRPr="000E5674" w:rsidRDefault="002D01AA" w:rsidP="002D01AA">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14:paraId="31DAAB09" w14:textId="77777777" w:rsidR="002D01AA" w:rsidRPr="000E5674" w:rsidRDefault="002D01AA" w:rsidP="002D01AA">
      <w:pPr>
        <w:pStyle w:val="ImprintHeading"/>
        <w:spacing w:before="120" w:after="80"/>
      </w:pPr>
      <w:r w:rsidRPr="000E5674">
        <w:t>Disclaimer</w:t>
      </w:r>
    </w:p>
    <w:p w14:paraId="2CE03F74" w14:textId="77777777" w:rsidR="002D01AA" w:rsidRPr="000E5674" w:rsidRDefault="002D01AA" w:rsidP="002D01AA">
      <w:pPr>
        <w:spacing w:before="120"/>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14:paraId="31EF0E0C" w14:textId="77777777" w:rsidR="002D01AA" w:rsidRDefault="002D01AA" w:rsidP="002D01AA">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3E8EB3A9" w14:textId="77777777" w:rsidR="002D01AA" w:rsidRDefault="002D01AA" w:rsidP="002D01AA">
      <w:pPr>
        <w:pStyle w:val="ImprintHeading"/>
        <w:spacing w:before="120" w:after="80"/>
        <w:rPr>
          <w:lang w:val="en-AU"/>
        </w:rPr>
      </w:pPr>
      <w:r>
        <w:rPr>
          <w:lang w:val="en-AU"/>
        </w:rPr>
        <w:t>Creative Commons licence</w:t>
      </w:r>
    </w:p>
    <w:p w14:paraId="038F20AE" w14:textId="77777777" w:rsidR="002D01AA" w:rsidRDefault="002D01AA" w:rsidP="002D01AA">
      <w:pPr>
        <w:pStyle w:val="ImprintHeading"/>
        <w:spacing w:before="120" w:after="80"/>
        <w:rPr>
          <w:lang w:val="en-AU"/>
        </w:rPr>
      </w:pPr>
      <w:r>
        <w:rPr>
          <w:noProof/>
        </w:rPr>
        <w:drawing>
          <wp:inline distT="0" distB="0" distL="0" distR="0" wp14:anchorId="7D79279E" wp14:editId="18872ED4">
            <wp:extent cx="1007927" cy="352649"/>
            <wp:effectExtent l="0" t="0" r="1905" b="9525"/>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14:paraId="24E5753A" w14:textId="77777777" w:rsidR="002D01AA" w:rsidRDefault="002D01AA" w:rsidP="002D01AA">
      <w:r w:rsidRPr="00650DDB">
        <w:t>With the exception of (a) the Coat of Arms; (b) the Department of Infrastructure, Transport, Regional Development, Communications</w:t>
      </w:r>
      <w:r w:rsidR="00CB0D5F">
        <w:t>, Sport</w:t>
      </w:r>
      <w:r w:rsidRPr="00650DDB">
        <w:t xml:space="preserve"> and the Arts photos and graphics; (c) content supplied by third parties; (d) content otherwise labelled; copyright in this publication is licensed under a Creative Commons BY Attribution 4.0 International Licence.</w:t>
      </w:r>
    </w:p>
    <w:p w14:paraId="11CEE686" w14:textId="77777777" w:rsidR="002D01AA" w:rsidRPr="000E5674" w:rsidRDefault="002D01AA" w:rsidP="002D01AA">
      <w:pPr>
        <w:pStyle w:val="ImprintHeading"/>
        <w:spacing w:before="120" w:after="80"/>
      </w:pPr>
      <w:r w:rsidRPr="000E5674">
        <w:t>Use of the Coat of Arms</w:t>
      </w:r>
    </w:p>
    <w:p w14:paraId="496E5BDA" w14:textId="057E38DF" w:rsidR="00F90578" w:rsidRPr="000E5674" w:rsidRDefault="00F90578" w:rsidP="00F90578">
      <w:pPr>
        <w:spacing w:before="120"/>
        <w:rPr>
          <w:lang w:val="x-none"/>
        </w:rPr>
      </w:pPr>
      <w:r w:rsidRPr="000E5674">
        <w:rPr>
          <w:lang w:val="x-none"/>
        </w:rPr>
        <w:t xml:space="preserve">The Department of the Prime Minister and Cabinet </w:t>
      </w:r>
      <w:r>
        <w:t xml:space="preserve">(PM&amp;C) </w:t>
      </w:r>
      <w:r w:rsidRPr="000E5674">
        <w:rPr>
          <w:lang w:val="x-none"/>
        </w:rPr>
        <w:t>sets the terms under which the Coat of Arms is used. Please refer to</w:t>
      </w:r>
      <w:r>
        <w:rPr>
          <w:lang w:val="en-US"/>
        </w:rPr>
        <w:t xml:space="preserve"> </w:t>
      </w:r>
      <w:r w:rsidRPr="000E5674">
        <w:rPr>
          <w:lang w:val="x-none"/>
        </w:rPr>
        <w:t xml:space="preserve">the </w:t>
      </w:r>
      <w:hyperlink r:id="rId19" w:history="1">
        <w:r>
          <w:rPr>
            <w:rStyle w:val="Hyperlink"/>
          </w:rPr>
          <w:t>Commonwealth Coat of Arms Information and Guidelines | PM&amp;C</w:t>
        </w:r>
      </w:hyperlink>
      <w:r>
        <w:t>.</w:t>
      </w:r>
    </w:p>
    <w:p w14:paraId="29C68460" w14:textId="77777777" w:rsidR="002D01AA" w:rsidRPr="000E5674" w:rsidRDefault="002D01AA" w:rsidP="002D01AA">
      <w:pPr>
        <w:pStyle w:val="ImprintHeading"/>
        <w:spacing w:before="120" w:after="80"/>
      </w:pPr>
      <w:r w:rsidRPr="000E5674">
        <w:t>Contact us</w:t>
      </w:r>
    </w:p>
    <w:p w14:paraId="3FD129F9" w14:textId="08AA0370" w:rsidR="002D01AA" w:rsidRPr="000E5674" w:rsidRDefault="002D01AA" w:rsidP="002D01AA">
      <w:pPr>
        <w:spacing w:before="120"/>
        <w:rPr>
          <w:lang w:val="x-none"/>
        </w:rPr>
      </w:pPr>
      <w:r w:rsidRPr="000E5674">
        <w:rPr>
          <w:lang w:val="x-none"/>
        </w:rPr>
        <w:t>This publication is available</w:t>
      </w:r>
      <w:r w:rsidR="00EA1A01" w:rsidRPr="00EA1A01">
        <w:t xml:space="preserve"> </w:t>
      </w:r>
      <w:r w:rsidR="00EA1A01" w:rsidRPr="00EA1A01">
        <w:rPr>
          <w:lang w:val="x-none"/>
        </w:rPr>
        <w:t xml:space="preserve">in PDF </w:t>
      </w:r>
      <w:r w:rsidR="00EA1A01">
        <w:rPr>
          <w:lang w:val="x-none"/>
        </w:rPr>
        <w:t xml:space="preserve">and Word </w:t>
      </w:r>
      <w:r w:rsidR="00EA1A01" w:rsidRPr="00EA1A01">
        <w:rPr>
          <w:lang w:val="x-none"/>
        </w:rPr>
        <w:t>format. All</w:t>
      </w:r>
      <w:r w:rsidRPr="000E5674">
        <w:rPr>
          <w:lang w:val="x-none"/>
        </w:rPr>
        <w:t xml:space="preserve"> other rights are reserved, including in relation to any</w:t>
      </w:r>
      <w:r>
        <w:rPr>
          <w:lang w:val="en-US"/>
        </w:rPr>
        <w:t xml:space="preserve"> departmental</w:t>
      </w:r>
      <w:r w:rsidRPr="000E5674">
        <w:rPr>
          <w:lang w:val="x-none"/>
        </w:rPr>
        <w:t xml:space="preserve"> logos or trademarks which may exist. For enquiries regarding the licence and any use of this publication,</w:t>
      </w:r>
      <w:r>
        <w:rPr>
          <w:lang w:val="en-US"/>
        </w:rPr>
        <w:t xml:space="preserve"> </w:t>
      </w:r>
      <w:r w:rsidRPr="000E5674">
        <w:rPr>
          <w:lang w:val="x-none"/>
        </w:rPr>
        <w:t>please contact:</w:t>
      </w:r>
    </w:p>
    <w:p w14:paraId="08D2AD67" w14:textId="24E2EF00" w:rsidR="002D01AA" w:rsidRPr="00214F32" w:rsidRDefault="002D01AA" w:rsidP="002D01AA">
      <w:pPr>
        <w:spacing w:before="120"/>
        <w:rPr>
          <w:lang w:val="en-US"/>
        </w:rPr>
      </w:pPr>
      <w:r w:rsidRPr="000E5674">
        <w:rPr>
          <w:lang w:val="x-none"/>
        </w:rPr>
        <w:t xml:space="preserve">Email: </w:t>
      </w:r>
      <w:r w:rsidR="00EA1A01" w:rsidRPr="00EA1A01">
        <w:rPr>
          <w:lang w:val="x-none"/>
        </w:rPr>
        <w:t>FreightStrategy@infrastructure.gov.au</w:t>
      </w:r>
    </w:p>
    <w:p w14:paraId="1552F4EE" w14:textId="1CB4D4D7" w:rsidR="002D01AA" w:rsidRDefault="002D01AA" w:rsidP="002D01AA">
      <w:pPr>
        <w:spacing w:before="120"/>
        <w:rPr>
          <w:kern w:val="12"/>
          <w:highlight w:val="yellow"/>
        </w:rPr>
      </w:pPr>
      <w:r w:rsidRPr="000E5674">
        <w:rPr>
          <w:lang w:val="x-none"/>
        </w:rPr>
        <w:t>Website:</w:t>
      </w:r>
      <w:r>
        <w:rPr>
          <w:lang w:val="en-US"/>
        </w:rPr>
        <w:t xml:space="preserve"> </w:t>
      </w:r>
      <w:hyperlink r:id="rId20" w:history="1">
        <w:r w:rsidR="00EA1A01" w:rsidRPr="00EA1A01">
          <w:rPr>
            <w:rStyle w:val="Hyperlink"/>
          </w:rPr>
          <w:t>National Freight and Supply Chain Strategy</w:t>
        </w:r>
      </w:hyperlink>
    </w:p>
    <w:p w14:paraId="2A8AFDE4" w14:textId="77777777" w:rsidR="00546218" w:rsidRDefault="002D01AA" w:rsidP="002D01AA">
      <w:pPr>
        <w:spacing w:before="120"/>
      </w:pPr>
      <w:r>
        <w:t xml:space="preserve"> </w:t>
      </w:r>
      <w:r w:rsidR="00546218">
        <w:br w:type="page"/>
      </w:r>
    </w:p>
    <w:p w14:paraId="313AECD8" w14:textId="77777777" w:rsidR="00DE4FE2" w:rsidRDefault="002B7197" w:rsidP="00CF6CFD">
      <w:pPr>
        <w:pStyle w:val="TOCHeading"/>
      </w:pPr>
      <w:r>
        <w:lastRenderedPageBreak/>
        <w:t>Table of C</w:t>
      </w:r>
      <w:r w:rsidR="00DE4FE2">
        <w:t>ontents</w:t>
      </w:r>
    </w:p>
    <w:p w14:paraId="58F7458B" w14:textId="7A472F48" w:rsidR="00C45BC2" w:rsidRDefault="00A95970">
      <w:pPr>
        <w:pStyle w:val="TOC1"/>
        <w:rPr>
          <w:b w:val="0"/>
          <w:noProof/>
          <w:kern w:val="2"/>
          <w:szCs w:val="24"/>
          <w:u w:val="none"/>
          <w:lang w:eastAsia="en-AU"/>
          <w14:ligatures w14:val="standardContextual"/>
        </w:rPr>
      </w:pPr>
      <w:r>
        <w:fldChar w:fldCharType="begin"/>
      </w:r>
      <w:r>
        <w:instrText xml:space="preserve"> TOC \o "3-3" \h \z \t "Heading 1,1,Heading 2,2,Heading 1 Numbered,1,Heading 2 Numbered,2,Appendix Heading 1,1,Attachment Heading 1,1" </w:instrText>
      </w:r>
      <w:r>
        <w:fldChar w:fldCharType="separate"/>
      </w:r>
      <w:hyperlink w:anchor="_Toc228276340" w:history="1">
        <w:r w:rsidR="00C45BC2" w:rsidRPr="009C1BC4">
          <w:rPr>
            <w:rStyle w:val="Hyperlink"/>
            <w:noProof/>
          </w:rPr>
          <w:t>Acknowledgment of country</w:t>
        </w:r>
        <w:r w:rsidR="00C45BC2">
          <w:rPr>
            <w:noProof/>
            <w:webHidden/>
          </w:rPr>
          <w:tab/>
        </w:r>
        <w:r w:rsidR="00C45BC2">
          <w:rPr>
            <w:noProof/>
            <w:webHidden/>
          </w:rPr>
          <w:fldChar w:fldCharType="begin"/>
        </w:r>
        <w:r w:rsidR="00C45BC2">
          <w:rPr>
            <w:noProof/>
            <w:webHidden/>
          </w:rPr>
          <w:instrText xml:space="preserve"> PAGEREF _Toc228276340 \h </w:instrText>
        </w:r>
        <w:r w:rsidR="00C45BC2">
          <w:rPr>
            <w:noProof/>
            <w:webHidden/>
          </w:rPr>
        </w:r>
        <w:r w:rsidR="00C45BC2">
          <w:rPr>
            <w:noProof/>
            <w:webHidden/>
          </w:rPr>
          <w:fldChar w:fldCharType="separate"/>
        </w:r>
        <w:r w:rsidR="00C45BC2">
          <w:rPr>
            <w:noProof/>
            <w:webHidden/>
          </w:rPr>
          <w:t>5</w:t>
        </w:r>
        <w:r w:rsidR="00C45BC2">
          <w:rPr>
            <w:noProof/>
            <w:webHidden/>
          </w:rPr>
          <w:fldChar w:fldCharType="end"/>
        </w:r>
      </w:hyperlink>
    </w:p>
    <w:p w14:paraId="2133C82E" w14:textId="1B2F65B9" w:rsidR="00C45BC2" w:rsidRDefault="00C45BC2">
      <w:pPr>
        <w:pStyle w:val="TOC1"/>
        <w:rPr>
          <w:b w:val="0"/>
          <w:noProof/>
          <w:kern w:val="2"/>
          <w:szCs w:val="24"/>
          <w:u w:val="none"/>
          <w:lang w:eastAsia="en-AU"/>
          <w14:ligatures w14:val="standardContextual"/>
        </w:rPr>
      </w:pPr>
      <w:hyperlink w:anchor="_Toc228276341" w:history="1">
        <w:r w:rsidRPr="009C1BC4">
          <w:rPr>
            <w:rStyle w:val="Hyperlink"/>
            <w:noProof/>
          </w:rPr>
          <w:t>The 2026 fuel security disruption – an unprecedented challenge</w:t>
        </w:r>
        <w:r>
          <w:rPr>
            <w:noProof/>
            <w:webHidden/>
          </w:rPr>
          <w:tab/>
        </w:r>
        <w:r>
          <w:rPr>
            <w:noProof/>
            <w:webHidden/>
          </w:rPr>
          <w:fldChar w:fldCharType="begin"/>
        </w:r>
        <w:r>
          <w:rPr>
            <w:noProof/>
            <w:webHidden/>
          </w:rPr>
          <w:instrText xml:space="preserve"> PAGEREF _Toc228276341 \h </w:instrText>
        </w:r>
        <w:r>
          <w:rPr>
            <w:noProof/>
            <w:webHidden/>
          </w:rPr>
        </w:r>
        <w:r>
          <w:rPr>
            <w:noProof/>
            <w:webHidden/>
          </w:rPr>
          <w:fldChar w:fldCharType="separate"/>
        </w:r>
        <w:r>
          <w:rPr>
            <w:noProof/>
            <w:webHidden/>
          </w:rPr>
          <w:t>6</w:t>
        </w:r>
        <w:r>
          <w:rPr>
            <w:noProof/>
            <w:webHidden/>
          </w:rPr>
          <w:fldChar w:fldCharType="end"/>
        </w:r>
      </w:hyperlink>
    </w:p>
    <w:p w14:paraId="5A9348A7" w14:textId="2C4915DB" w:rsidR="00C45BC2" w:rsidRDefault="00C45BC2">
      <w:pPr>
        <w:pStyle w:val="TOC1"/>
        <w:rPr>
          <w:b w:val="0"/>
          <w:noProof/>
          <w:kern w:val="2"/>
          <w:szCs w:val="24"/>
          <w:u w:val="none"/>
          <w:lang w:eastAsia="en-AU"/>
          <w14:ligatures w14:val="standardContextual"/>
        </w:rPr>
      </w:pPr>
      <w:hyperlink w:anchor="_Toc228276342" w:history="1">
        <w:r w:rsidRPr="009C1BC4">
          <w:rPr>
            <w:rStyle w:val="Hyperlink"/>
            <w:noProof/>
          </w:rPr>
          <w:t>Foreword</w:t>
        </w:r>
        <w:r>
          <w:rPr>
            <w:noProof/>
            <w:webHidden/>
          </w:rPr>
          <w:tab/>
        </w:r>
        <w:r>
          <w:rPr>
            <w:noProof/>
            <w:webHidden/>
          </w:rPr>
          <w:fldChar w:fldCharType="begin"/>
        </w:r>
        <w:r>
          <w:rPr>
            <w:noProof/>
            <w:webHidden/>
          </w:rPr>
          <w:instrText xml:space="preserve"> PAGEREF _Toc228276342 \h </w:instrText>
        </w:r>
        <w:r>
          <w:rPr>
            <w:noProof/>
            <w:webHidden/>
          </w:rPr>
        </w:r>
        <w:r>
          <w:rPr>
            <w:noProof/>
            <w:webHidden/>
          </w:rPr>
          <w:fldChar w:fldCharType="separate"/>
        </w:r>
        <w:r>
          <w:rPr>
            <w:noProof/>
            <w:webHidden/>
          </w:rPr>
          <w:t>7</w:t>
        </w:r>
        <w:r>
          <w:rPr>
            <w:noProof/>
            <w:webHidden/>
          </w:rPr>
          <w:fldChar w:fldCharType="end"/>
        </w:r>
      </w:hyperlink>
    </w:p>
    <w:p w14:paraId="5F57147E" w14:textId="257F27AC" w:rsidR="00C45BC2" w:rsidRDefault="00C45BC2">
      <w:pPr>
        <w:pStyle w:val="TOC1"/>
        <w:rPr>
          <w:b w:val="0"/>
          <w:noProof/>
          <w:kern w:val="2"/>
          <w:szCs w:val="24"/>
          <w:u w:val="none"/>
          <w:lang w:eastAsia="en-AU"/>
          <w14:ligatures w14:val="standardContextual"/>
        </w:rPr>
      </w:pPr>
      <w:hyperlink w:anchor="_Toc228276343" w:history="1">
        <w:r w:rsidRPr="009C1BC4">
          <w:rPr>
            <w:rStyle w:val="Hyperlink"/>
            <w:noProof/>
          </w:rPr>
          <w:t>National Freight and Supply Chain Strategy</w:t>
        </w:r>
        <w:r>
          <w:rPr>
            <w:noProof/>
            <w:webHidden/>
          </w:rPr>
          <w:tab/>
        </w:r>
        <w:r>
          <w:rPr>
            <w:noProof/>
            <w:webHidden/>
          </w:rPr>
          <w:fldChar w:fldCharType="begin"/>
        </w:r>
        <w:r>
          <w:rPr>
            <w:noProof/>
            <w:webHidden/>
          </w:rPr>
          <w:instrText xml:space="preserve"> PAGEREF _Toc228276343 \h </w:instrText>
        </w:r>
        <w:r>
          <w:rPr>
            <w:noProof/>
            <w:webHidden/>
          </w:rPr>
        </w:r>
        <w:r>
          <w:rPr>
            <w:noProof/>
            <w:webHidden/>
          </w:rPr>
          <w:fldChar w:fldCharType="separate"/>
        </w:r>
        <w:r>
          <w:rPr>
            <w:noProof/>
            <w:webHidden/>
          </w:rPr>
          <w:t>8</w:t>
        </w:r>
        <w:r>
          <w:rPr>
            <w:noProof/>
            <w:webHidden/>
          </w:rPr>
          <w:fldChar w:fldCharType="end"/>
        </w:r>
      </w:hyperlink>
    </w:p>
    <w:p w14:paraId="2ABA2035" w14:textId="181B5F08" w:rsidR="00C45BC2" w:rsidRDefault="00C45BC2">
      <w:pPr>
        <w:pStyle w:val="TOC1"/>
        <w:rPr>
          <w:b w:val="0"/>
          <w:noProof/>
          <w:kern w:val="2"/>
          <w:szCs w:val="24"/>
          <w:u w:val="none"/>
          <w:lang w:eastAsia="en-AU"/>
          <w14:ligatures w14:val="standardContextual"/>
        </w:rPr>
      </w:pPr>
      <w:hyperlink w:anchor="_Toc228276344" w:history="1">
        <w:r w:rsidRPr="009C1BC4">
          <w:rPr>
            <w:rStyle w:val="Hyperlink"/>
            <w:noProof/>
          </w:rPr>
          <w:t>Strategy in the national context</w:t>
        </w:r>
        <w:r>
          <w:rPr>
            <w:noProof/>
            <w:webHidden/>
          </w:rPr>
          <w:tab/>
        </w:r>
        <w:r>
          <w:rPr>
            <w:noProof/>
            <w:webHidden/>
          </w:rPr>
          <w:fldChar w:fldCharType="begin"/>
        </w:r>
        <w:r>
          <w:rPr>
            <w:noProof/>
            <w:webHidden/>
          </w:rPr>
          <w:instrText xml:space="preserve"> PAGEREF _Toc228276344 \h </w:instrText>
        </w:r>
        <w:r>
          <w:rPr>
            <w:noProof/>
            <w:webHidden/>
          </w:rPr>
        </w:r>
        <w:r>
          <w:rPr>
            <w:noProof/>
            <w:webHidden/>
          </w:rPr>
          <w:fldChar w:fldCharType="separate"/>
        </w:r>
        <w:r>
          <w:rPr>
            <w:noProof/>
            <w:webHidden/>
          </w:rPr>
          <w:t>10</w:t>
        </w:r>
        <w:r>
          <w:rPr>
            <w:noProof/>
            <w:webHidden/>
          </w:rPr>
          <w:fldChar w:fldCharType="end"/>
        </w:r>
      </w:hyperlink>
    </w:p>
    <w:p w14:paraId="41726373" w14:textId="06B55AB2" w:rsidR="00C45BC2" w:rsidRDefault="00C45BC2">
      <w:pPr>
        <w:pStyle w:val="TOC2"/>
        <w:tabs>
          <w:tab w:val="right" w:pos="9854"/>
        </w:tabs>
        <w:rPr>
          <w:noProof/>
          <w:kern w:val="2"/>
          <w:sz w:val="24"/>
          <w:szCs w:val="24"/>
          <w:lang w:eastAsia="en-AU"/>
          <w14:ligatures w14:val="standardContextual"/>
        </w:rPr>
      </w:pPr>
      <w:hyperlink w:anchor="_Toc228276345" w:history="1">
        <w:r w:rsidRPr="009C1BC4">
          <w:rPr>
            <w:rStyle w:val="Hyperlink"/>
            <w:noProof/>
          </w:rPr>
          <w:t>Delivering the NSW Freight Policy Reform Program</w:t>
        </w:r>
        <w:r>
          <w:rPr>
            <w:noProof/>
            <w:webHidden/>
          </w:rPr>
          <w:tab/>
        </w:r>
        <w:r>
          <w:rPr>
            <w:noProof/>
            <w:webHidden/>
          </w:rPr>
          <w:fldChar w:fldCharType="begin"/>
        </w:r>
        <w:r>
          <w:rPr>
            <w:noProof/>
            <w:webHidden/>
          </w:rPr>
          <w:instrText xml:space="preserve"> PAGEREF _Toc228276345 \h </w:instrText>
        </w:r>
        <w:r>
          <w:rPr>
            <w:noProof/>
            <w:webHidden/>
          </w:rPr>
        </w:r>
        <w:r>
          <w:rPr>
            <w:noProof/>
            <w:webHidden/>
          </w:rPr>
          <w:fldChar w:fldCharType="separate"/>
        </w:r>
        <w:r>
          <w:rPr>
            <w:noProof/>
            <w:webHidden/>
          </w:rPr>
          <w:t>10</w:t>
        </w:r>
        <w:r>
          <w:rPr>
            <w:noProof/>
            <w:webHidden/>
          </w:rPr>
          <w:fldChar w:fldCharType="end"/>
        </w:r>
      </w:hyperlink>
    </w:p>
    <w:p w14:paraId="5C5E1695" w14:textId="1D3F4EB8" w:rsidR="00C45BC2" w:rsidRDefault="00C45BC2">
      <w:pPr>
        <w:pStyle w:val="TOC2"/>
        <w:tabs>
          <w:tab w:val="right" w:pos="9854"/>
        </w:tabs>
        <w:rPr>
          <w:noProof/>
          <w:kern w:val="2"/>
          <w:sz w:val="24"/>
          <w:szCs w:val="24"/>
          <w:lang w:eastAsia="en-AU"/>
          <w14:ligatures w14:val="standardContextual"/>
        </w:rPr>
      </w:pPr>
      <w:hyperlink w:anchor="_Toc228276346" w:history="1">
        <w:r w:rsidRPr="009C1BC4">
          <w:rPr>
            <w:rStyle w:val="Hyperlink"/>
            <w:noProof/>
          </w:rPr>
          <w:t>Victoria Delivers</w:t>
        </w:r>
        <w:r>
          <w:rPr>
            <w:noProof/>
            <w:webHidden/>
          </w:rPr>
          <w:tab/>
        </w:r>
        <w:r>
          <w:rPr>
            <w:noProof/>
            <w:webHidden/>
          </w:rPr>
          <w:fldChar w:fldCharType="begin"/>
        </w:r>
        <w:r>
          <w:rPr>
            <w:noProof/>
            <w:webHidden/>
          </w:rPr>
          <w:instrText xml:space="preserve"> PAGEREF _Toc228276346 \h </w:instrText>
        </w:r>
        <w:r>
          <w:rPr>
            <w:noProof/>
            <w:webHidden/>
          </w:rPr>
        </w:r>
        <w:r>
          <w:rPr>
            <w:noProof/>
            <w:webHidden/>
          </w:rPr>
          <w:fldChar w:fldCharType="separate"/>
        </w:r>
        <w:r>
          <w:rPr>
            <w:noProof/>
            <w:webHidden/>
          </w:rPr>
          <w:t>10</w:t>
        </w:r>
        <w:r>
          <w:rPr>
            <w:noProof/>
            <w:webHidden/>
          </w:rPr>
          <w:fldChar w:fldCharType="end"/>
        </w:r>
      </w:hyperlink>
    </w:p>
    <w:p w14:paraId="209529DF" w14:textId="5BD2A025" w:rsidR="00C45BC2" w:rsidRDefault="00C45BC2">
      <w:pPr>
        <w:pStyle w:val="TOC2"/>
        <w:tabs>
          <w:tab w:val="right" w:pos="9854"/>
        </w:tabs>
        <w:rPr>
          <w:noProof/>
          <w:kern w:val="2"/>
          <w:sz w:val="24"/>
          <w:szCs w:val="24"/>
          <w:lang w:eastAsia="en-AU"/>
          <w14:ligatures w14:val="standardContextual"/>
        </w:rPr>
      </w:pPr>
      <w:hyperlink w:anchor="_Toc228276347" w:history="1">
        <w:r w:rsidRPr="009C1BC4">
          <w:rPr>
            <w:rStyle w:val="Hyperlink"/>
            <w:noProof/>
          </w:rPr>
          <w:t>Queensland Freight Delivery Plan</w:t>
        </w:r>
        <w:r>
          <w:rPr>
            <w:noProof/>
            <w:webHidden/>
          </w:rPr>
          <w:tab/>
        </w:r>
        <w:r>
          <w:rPr>
            <w:noProof/>
            <w:webHidden/>
          </w:rPr>
          <w:fldChar w:fldCharType="begin"/>
        </w:r>
        <w:r>
          <w:rPr>
            <w:noProof/>
            <w:webHidden/>
          </w:rPr>
          <w:instrText xml:space="preserve"> PAGEREF _Toc228276347 \h </w:instrText>
        </w:r>
        <w:r>
          <w:rPr>
            <w:noProof/>
            <w:webHidden/>
          </w:rPr>
        </w:r>
        <w:r>
          <w:rPr>
            <w:noProof/>
            <w:webHidden/>
          </w:rPr>
          <w:fldChar w:fldCharType="separate"/>
        </w:r>
        <w:r>
          <w:rPr>
            <w:noProof/>
            <w:webHidden/>
          </w:rPr>
          <w:t>11</w:t>
        </w:r>
        <w:r>
          <w:rPr>
            <w:noProof/>
            <w:webHidden/>
          </w:rPr>
          <w:fldChar w:fldCharType="end"/>
        </w:r>
      </w:hyperlink>
    </w:p>
    <w:p w14:paraId="15741E64" w14:textId="262C96D8" w:rsidR="00C45BC2" w:rsidRDefault="00C45BC2">
      <w:pPr>
        <w:pStyle w:val="TOC2"/>
        <w:tabs>
          <w:tab w:val="right" w:pos="9854"/>
        </w:tabs>
        <w:rPr>
          <w:noProof/>
          <w:kern w:val="2"/>
          <w:sz w:val="24"/>
          <w:szCs w:val="24"/>
          <w:lang w:eastAsia="en-AU"/>
          <w14:ligatures w14:val="standardContextual"/>
        </w:rPr>
      </w:pPr>
      <w:hyperlink w:anchor="_Toc228276348" w:history="1">
        <w:r w:rsidRPr="009C1BC4">
          <w:rPr>
            <w:rStyle w:val="Hyperlink"/>
            <w:noProof/>
          </w:rPr>
          <w:t>Tasmania</w:t>
        </w:r>
        <w:r>
          <w:rPr>
            <w:noProof/>
            <w:webHidden/>
          </w:rPr>
          <w:tab/>
        </w:r>
        <w:r>
          <w:rPr>
            <w:noProof/>
            <w:webHidden/>
          </w:rPr>
          <w:fldChar w:fldCharType="begin"/>
        </w:r>
        <w:r>
          <w:rPr>
            <w:noProof/>
            <w:webHidden/>
          </w:rPr>
          <w:instrText xml:space="preserve"> PAGEREF _Toc228276348 \h </w:instrText>
        </w:r>
        <w:r>
          <w:rPr>
            <w:noProof/>
            <w:webHidden/>
          </w:rPr>
        </w:r>
        <w:r>
          <w:rPr>
            <w:noProof/>
            <w:webHidden/>
          </w:rPr>
          <w:fldChar w:fldCharType="separate"/>
        </w:r>
        <w:r>
          <w:rPr>
            <w:noProof/>
            <w:webHidden/>
          </w:rPr>
          <w:t>11</w:t>
        </w:r>
        <w:r>
          <w:rPr>
            <w:noProof/>
            <w:webHidden/>
          </w:rPr>
          <w:fldChar w:fldCharType="end"/>
        </w:r>
      </w:hyperlink>
    </w:p>
    <w:p w14:paraId="22BE95A8" w14:textId="7D035879" w:rsidR="00C45BC2" w:rsidRDefault="00C45BC2">
      <w:pPr>
        <w:pStyle w:val="TOC2"/>
        <w:tabs>
          <w:tab w:val="right" w:pos="9854"/>
        </w:tabs>
        <w:rPr>
          <w:noProof/>
          <w:kern w:val="2"/>
          <w:sz w:val="24"/>
          <w:szCs w:val="24"/>
          <w:lang w:eastAsia="en-AU"/>
          <w14:ligatures w14:val="standardContextual"/>
        </w:rPr>
      </w:pPr>
      <w:hyperlink w:anchor="_Toc228276349" w:history="1">
        <w:r w:rsidRPr="009C1BC4">
          <w:rPr>
            <w:rStyle w:val="Hyperlink"/>
            <w:noProof/>
          </w:rPr>
          <w:t>Western Australia</w:t>
        </w:r>
        <w:r>
          <w:rPr>
            <w:noProof/>
            <w:webHidden/>
          </w:rPr>
          <w:tab/>
        </w:r>
        <w:r>
          <w:rPr>
            <w:noProof/>
            <w:webHidden/>
          </w:rPr>
          <w:fldChar w:fldCharType="begin"/>
        </w:r>
        <w:r>
          <w:rPr>
            <w:noProof/>
            <w:webHidden/>
          </w:rPr>
          <w:instrText xml:space="preserve"> PAGEREF _Toc228276349 \h </w:instrText>
        </w:r>
        <w:r>
          <w:rPr>
            <w:noProof/>
            <w:webHidden/>
          </w:rPr>
        </w:r>
        <w:r>
          <w:rPr>
            <w:noProof/>
            <w:webHidden/>
          </w:rPr>
          <w:fldChar w:fldCharType="separate"/>
        </w:r>
        <w:r>
          <w:rPr>
            <w:noProof/>
            <w:webHidden/>
          </w:rPr>
          <w:t>12</w:t>
        </w:r>
        <w:r>
          <w:rPr>
            <w:noProof/>
            <w:webHidden/>
          </w:rPr>
          <w:fldChar w:fldCharType="end"/>
        </w:r>
      </w:hyperlink>
    </w:p>
    <w:p w14:paraId="048011C5" w14:textId="5C2EA6D4" w:rsidR="00C45BC2" w:rsidRDefault="00C45BC2">
      <w:pPr>
        <w:pStyle w:val="TOC2"/>
        <w:tabs>
          <w:tab w:val="right" w:pos="9854"/>
        </w:tabs>
        <w:rPr>
          <w:noProof/>
          <w:kern w:val="2"/>
          <w:sz w:val="24"/>
          <w:szCs w:val="24"/>
          <w:lang w:eastAsia="en-AU"/>
          <w14:ligatures w14:val="standardContextual"/>
        </w:rPr>
      </w:pPr>
      <w:hyperlink w:anchor="_Toc228276350" w:history="1">
        <w:r w:rsidRPr="009C1BC4">
          <w:rPr>
            <w:rStyle w:val="Hyperlink"/>
            <w:noProof/>
          </w:rPr>
          <w:t>Australian Capital Territory (ACT)</w:t>
        </w:r>
        <w:r>
          <w:rPr>
            <w:noProof/>
            <w:webHidden/>
          </w:rPr>
          <w:tab/>
        </w:r>
        <w:r>
          <w:rPr>
            <w:noProof/>
            <w:webHidden/>
          </w:rPr>
          <w:fldChar w:fldCharType="begin"/>
        </w:r>
        <w:r>
          <w:rPr>
            <w:noProof/>
            <w:webHidden/>
          </w:rPr>
          <w:instrText xml:space="preserve"> PAGEREF _Toc228276350 \h </w:instrText>
        </w:r>
        <w:r>
          <w:rPr>
            <w:noProof/>
            <w:webHidden/>
          </w:rPr>
        </w:r>
        <w:r>
          <w:rPr>
            <w:noProof/>
            <w:webHidden/>
          </w:rPr>
          <w:fldChar w:fldCharType="separate"/>
        </w:r>
        <w:r>
          <w:rPr>
            <w:noProof/>
            <w:webHidden/>
          </w:rPr>
          <w:t>12</w:t>
        </w:r>
        <w:r>
          <w:rPr>
            <w:noProof/>
            <w:webHidden/>
          </w:rPr>
          <w:fldChar w:fldCharType="end"/>
        </w:r>
      </w:hyperlink>
    </w:p>
    <w:p w14:paraId="40366DD6" w14:textId="48D99321" w:rsidR="00C45BC2" w:rsidRDefault="00C45BC2">
      <w:pPr>
        <w:pStyle w:val="TOC2"/>
        <w:tabs>
          <w:tab w:val="right" w:pos="9854"/>
        </w:tabs>
        <w:rPr>
          <w:noProof/>
          <w:kern w:val="2"/>
          <w:sz w:val="24"/>
          <w:szCs w:val="24"/>
          <w:lang w:eastAsia="en-AU"/>
          <w14:ligatures w14:val="standardContextual"/>
        </w:rPr>
      </w:pPr>
      <w:hyperlink w:anchor="_Toc228276351" w:history="1">
        <w:r w:rsidRPr="009C1BC4">
          <w:rPr>
            <w:rStyle w:val="Hyperlink"/>
            <w:noProof/>
          </w:rPr>
          <w:t>South Australia</w:t>
        </w:r>
        <w:r>
          <w:rPr>
            <w:noProof/>
            <w:webHidden/>
          </w:rPr>
          <w:tab/>
        </w:r>
        <w:r>
          <w:rPr>
            <w:noProof/>
            <w:webHidden/>
          </w:rPr>
          <w:fldChar w:fldCharType="begin"/>
        </w:r>
        <w:r>
          <w:rPr>
            <w:noProof/>
            <w:webHidden/>
          </w:rPr>
          <w:instrText xml:space="preserve"> PAGEREF _Toc228276351 \h </w:instrText>
        </w:r>
        <w:r>
          <w:rPr>
            <w:noProof/>
            <w:webHidden/>
          </w:rPr>
        </w:r>
        <w:r>
          <w:rPr>
            <w:noProof/>
            <w:webHidden/>
          </w:rPr>
          <w:fldChar w:fldCharType="separate"/>
        </w:r>
        <w:r>
          <w:rPr>
            <w:noProof/>
            <w:webHidden/>
          </w:rPr>
          <w:t>13</w:t>
        </w:r>
        <w:r>
          <w:rPr>
            <w:noProof/>
            <w:webHidden/>
          </w:rPr>
          <w:fldChar w:fldCharType="end"/>
        </w:r>
      </w:hyperlink>
    </w:p>
    <w:p w14:paraId="03207839" w14:textId="182EC906" w:rsidR="00C45BC2" w:rsidRDefault="00C45BC2">
      <w:pPr>
        <w:pStyle w:val="TOC2"/>
        <w:tabs>
          <w:tab w:val="right" w:pos="9854"/>
        </w:tabs>
        <w:rPr>
          <w:noProof/>
          <w:kern w:val="2"/>
          <w:sz w:val="24"/>
          <w:szCs w:val="24"/>
          <w:lang w:eastAsia="en-AU"/>
          <w14:ligatures w14:val="standardContextual"/>
        </w:rPr>
      </w:pPr>
      <w:hyperlink w:anchor="_Toc228276352" w:history="1">
        <w:r w:rsidRPr="009C1BC4">
          <w:rPr>
            <w:rStyle w:val="Hyperlink"/>
            <w:noProof/>
          </w:rPr>
          <w:t>Northern Territory</w:t>
        </w:r>
        <w:r>
          <w:rPr>
            <w:noProof/>
            <w:webHidden/>
          </w:rPr>
          <w:tab/>
        </w:r>
        <w:r>
          <w:rPr>
            <w:noProof/>
            <w:webHidden/>
          </w:rPr>
          <w:fldChar w:fldCharType="begin"/>
        </w:r>
        <w:r>
          <w:rPr>
            <w:noProof/>
            <w:webHidden/>
          </w:rPr>
          <w:instrText xml:space="preserve"> PAGEREF _Toc228276352 \h </w:instrText>
        </w:r>
        <w:r>
          <w:rPr>
            <w:noProof/>
            <w:webHidden/>
          </w:rPr>
        </w:r>
        <w:r>
          <w:rPr>
            <w:noProof/>
            <w:webHidden/>
          </w:rPr>
          <w:fldChar w:fldCharType="separate"/>
        </w:r>
        <w:r>
          <w:rPr>
            <w:noProof/>
            <w:webHidden/>
          </w:rPr>
          <w:t>14</w:t>
        </w:r>
        <w:r>
          <w:rPr>
            <w:noProof/>
            <w:webHidden/>
          </w:rPr>
          <w:fldChar w:fldCharType="end"/>
        </w:r>
      </w:hyperlink>
    </w:p>
    <w:p w14:paraId="0FB0CF25" w14:textId="73D32ED8" w:rsidR="00C45BC2" w:rsidRDefault="00C45BC2">
      <w:pPr>
        <w:pStyle w:val="TOC1"/>
        <w:rPr>
          <w:b w:val="0"/>
          <w:noProof/>
          <w:kern w:val="2"/>
          <w:szCs w:val="24"/>
          <w:u w:val="none"/>
          <w:lang w:eastAsia="en-AU"/>
          <w14:ligatures w14:val="standardContextual"/>
        </w:rPr>
      </w:pPr>
      <w:hyperlink w:anchor="_Toc228276353" w:history="1">
        <w:r w:rsidRPr="009C1BC4">
          <w:rPr>
            <w:rStyle w:val="Hyperlink"/>
            <w:noProof/>
          </w:rPr>
          <w:t>New technology case studies</w:t>
        </w:r>
        <w:r>
          <w:rPr>
            <w:noProof/>
            <w:webHidden/>
          </w:rPr>
          <w:tab/>
        </w:r>
        <w:r>
          <w:rPr>
            <w:noProof/>
            <w:webHidden/>
          </w:rPr>
          <w:fldChar w:fldCharType="begin"/>
        </w:r>
        <w:r>
          <w:rPr>
            <w:noProof/>
            <w:webHidden/>
          </w:rPr>
          <w:instrText xml:space="preserve"> PAGEREF _Toc228276353 \h </w:instrText>
        </w:r>
        <w:r>
          <w:rPr>
            <w:noProof/>
            <w:webHidden/>
          </w:rPr>
        </w:r>
        <w:r>
          <w:rPr>
            <w:noProof/>
            <w:webHidden/>
          </w:rPr>
          <w:fldChar w:fldCharType="separate"/>
        </w:r>
        <w:r>
          <w:rPr>
            <w:noProof/>
            <w:webHidden/>
          </w:rPr>
          <w:t>15</w:t>
        </w:r>
        <w:r>
          <w:rPr>
            <w:noProof/>
            <w:webHidden/>
          </w:rPr>
          <w:fldChar w:fldCharType="end"/>
        </w:r>
      </w:hyperlink>
    </w:p>
    <w:p w14:paraId="0D0766E9" w14:textId="6166874C" w:rsidR="00C45BC2" w:rsidRDefault="00C45BC2">
      <w:pPr>
        <w:pStyle w:val="TOC1"/>
        <w:rPr>
          <w:b w:val="0"/>
          <w:noProof/>
          <w:kern w:val="2"/>
          <w:szCs w:val="24"/>
          <w:u w:val="none"/>
          <w:lang w:eastAsia="en-AU"/>
          <w14:ligatures w14:val="standardContextual"/>
        </w:rPr>
      </w:pPr>
      <w:hyperlink w:anchor="_Toc228276354" w:history="1">
        <w:r w:rsidRPr="009C1BC4">
          <w:rPr>
            <w:rStyle w:val="Hyperlink"/>
            <w:noProof/>
          </w:rPr>
          <w:t>Our progress</w:t>
        </w:r>
        <w:r>
          <w:rPr>
            <w:noProof/>
            <w:webHidden/>
          </w:rPr>
          <w:tab/>
        </w:r>
        <w:r>
          <w:rPr>
            <w:noProof/>
            <w:webHidden/>
          </w:rPr>
          <w:fldChar w:fldCharType="begin"/>
        </w:r>
        <w:r>
          <w:rPr>
            <w:noProof/>
            <w:webHidden/>
          </w:rPr>
          <w:instrText xml:space="preserve"> PAGEREF _Toc228276354 \h </w:instrText>
        </w:r>
        <w:r>
          <w:rPr>
            <w:noProof/>
            <w:webHidden/>
          </w:rPr>
        </w:r>
        <w:r>
          <w:rPr>
            <w:noProof/>
            <w:webHidden/>
          </w:rPr>
          <w:fldChar w:fldCharType="separate"/>
        </w:r>
        <w:r>
          <w:rPr>
            <w:noProof/>
            <w:webHidden/>
          </w:rPr>
          <w:t>17</w:t>
        </w:r>
        <w:r>
          <w:rPr>
            <w:noProof/>
            <w:webHidden/>
          </w:rPr>
          <w:fldChar w:fldCharType="end"/>
        </w:r>
      </w:hyperlink>
    </w:p>
    <w:p w14:paraId="7003A00E" w14:textId="72EB3581" w:rsidR="00C45BC2" w:rsidRDefault="00C45BC2">
      <w:pPr>
        <w:pStyle w:val="TOC2"/>
        <w:tabs>
          <w:tab w:val="right" w:pos="9854"/>
        </w:tabs>
        <w:rPr>
          <w:noProof/>
          <w:kern w:val="2"/>
          <w:sz w:val="24"/>
          <w:szCs w:val="24"/>
          <w:lang w:eastAsia="en-AU"/>
          <w14:ligatures w14:val="standardContextual"/>
        </w:rPr>
      </w:pPr>
      <w:hyperlink w:anchor="_Toc228276355" w:history="1">
        <w:r w:rsidRPr="009C1BC4">
          <w:rPr>
            <w:rStyle w:val="Hyperlink"/>
            <w:noProof/>
          </w:rPr>
          <w:t>Context</w:t>
        </w:r>
        <w:r>
          <w:rPr>
            <w:noProof/>
            <w:webHidden/>
          </w:rPr>
          <w:tab/>
        </w:r>
        <w:r>
          <w:rPr>
            <w:noProof/>
            <w:webHidden/>
          </w:rPr>
          <w:fldChar w:fldCharType="begin"/>
        </w:r>
        <w:r>
          <w:rPr>
            <w:noProof/>
            <w:webHidden/>
          </w:rPr>
          <w:instrText xml:space="preserve"> PAGEREF _Toc228276355 \h </w:instrText>
        </w:r>
        <w:r>
          <w:rPr>
            <w:noProof/>
            <w:webHidden/>
          </w:rPr>
        </w:r>
        <w:r>
          <w:rPr>
            <w:noProof/>
            <w:webHidden/>
          </w:rPr>
          <w:fldChar w:fldCharType="separate"/>
        </w:r>
        <w:r>
          <w:rPr>
            <w:noProof/>
            <w:webHidden/>
          </w:rPr>
          <w:t>17</w:t>
        </w:r>
        <w:r>
          <w:rPr>
            <w:noProof/>
            <w:webHidden/>
          </w:rPr>
          <w:fldChar w:fldCharType="end"/>
        </w:r>
      </w:hyperlink>
    </w:p>
    <w:p w14:paraId="562027C1" w14:textId="2B17DFEE" w:rsidR="00C45BC2" w:rsidRDefault="00C45BC2">
      <w:pPr>
        <w:pStyle w:val="TOC2"/>
        <w:tabs>
          <w:tab w:val="right" w:pos="9854"/>
        </w:tabs>
        <w:rPr>
          <w:noProof/>
          <w:kern w:val="2"/>
          <w:sz w:val="24"/>
          <w:szCs w:val="24"/>
          <w:lang w:eastAsia="en-AU"/>
          <w14:ligatures w14:val="standardContextual"/>
        </w:rPr>
      </w:pPr>
      <w:hyperlink w:anchor="_Toc228276356" w:history="1">
        <w:r w:rsidRPr="009C1BC4">
          <w:rPr>
            <w:rStyle w:val="Hyperlink"/>
            <w:noProof/>
          </w:rPr>
          <w:t>Decarbonising the freight and supply chain sector</w:t>
        </w:r>
        <w:r>
          <w:rPr>
            <w:noProof/>
            <w:webHidden/>
          </w:rPr>
          <w:tab/>
        </w:r>
        <w:r>
          <w:rPr>
            <w:noProof/>
            <w:webHidden/>
          </w:rPr>
          <w:fldChar w:fldCharType="begin"/>
        </w:r>
        <w:r>
          <w:rPr>
            <w:noProof/>
            <w:webHidden/>
          </w:rPr>
          <w:instrText xml:space="preserve"> PAGEREF _Toc228276356 \h </w:instrText>
        </w:r>
        <w:r>
          <w:rPr>
            <w:noProof/>
            <w:webHidden/>
          </w:rPr>
        </w:r>
        <w:r>
          <w:rPr>
            <w:noProof/>
            <w:webHidden/>
          </w:rPr>
          <w:fldChar w:fldCharType="separate"/>
        </w:r>
        <w:r>
          <w:rPr>
            <w:noProof/>
            <w:webHidden/>
          </w:rPr>
          <w:t>19</w:t>
        </w:r>
        <w:r>
          <w:rPr>
            <w:noProof/>
            <w:webHidden/>
          </w:rPr>
          <w:fldChar w:fldCharType="end"/>
        </w:r>
      </w:hyperlink>
    </w:p>
    <w:p w14:paraId="2AA1FBE5" w14:textId="0575095D" w:rsidR="00C45BC2" w:rsidRDefault="00C45BC2">
      <w:pPr>
        <w:pStyle w:val="TOC2"/>
        <w:tabs>
          <w:tab w:val="right" w:pos="9854"/>
        </w:tabs>
        <w:rPr>
          <w:noProof/>
          <w:kern w:val="2"/>
          <w:sz w:val="24"/>
          <w:szCs w:val="24"/>
          <w:lang w:eastAsia="en-AU"/>
          <w14:ligatures w14:val="standardContextual"/>
        </w:rPr>
      </w:pPr>
      <w:hyperlink w:anchor="_Toc228276357" w:history="1">
        <w:r w:rsidRPr="009C1BC4">
          <w:rPr>
            <w:rStyle w:val="Hyperlink"/>
            <w:noProof/>
          </w:rPr>
          <w:t>Improved efficiency, productivity and international competitiveness</w:t>
        </w:r>
        <w:r>
          <w:rPr>
            <w:noProof/>
            <w:webHidden/>
          </w:rPr>
          <w:tab/>
        </w:r>
        <w:r>
          <w:rPr>
            <w:noProof/>
            <w:webHidden/>
          </w:rPr>
          <w:fldChar w:fldCharType="begin"/>
        </w:r>
        <w:r>
          <w:rPr>
            <w:noProof/>
            <w:webHidden/>
          </w:rPr>
          <w:instrText xml:space="preserve"> PAGEREF _Toc228276357 \h </w:instrText>
        </w:r>
        <w:r>
          <w:rPr>
            <w:noProof/>
            <w:webHidden/>
          </w:rPr>
        </w:r>
        <w:r>
          <w:rPr>
            <w:noProof/>
            <w:webHidden/>
          </w:rPr>
          <w:fldChar w:fldCharType="separate"/>
        </w:r>
        <w:r>
          <w:rPr>
            <w:noProof/>
            <w:webHidden/>
          </w:rPr>
          <w:t>21</w:t>
        </w:r>
        <w:r>
          <w:rPr>
            <w:noProof/>
            <w:webHidden/>
          </w:rPr>
          <w:fldChar w:fldCharType="end"/>
        </w:r>
      </w:hyperlink>
    </w:p>
    <w:p w14:paraId="23493F6F" w14:textId="50E673D8" w:rsidR="00C45BC2" w:rsidRDefault="00C45BC2">
      <w:pPr>
        <w:pStyle w:val="TOC2"/>
        <w:tabs>
          <w:tab w:val="right" w:pos="9854"/>
        </w:tabs>
        <w:rPr>
          <w:noProof/>
          <w:kern w:val="2"/>
          <w:sz w:val="24"/>
          <w:szCs w:val="24"/>
          <w:lang w:eastAsia="en-AU"/>
          <w14:ligatures w14:val="standardContextual"/>
        </w:rPr>
      </w:pPr>
      <w:hyperlink w:anchor="_Toc228276358" w:history="1">
        <w:r w:rsidRPr="009C1BC4">
          <w:rPr>
            <w:rStyle w:val="Hyperlink"/>
            <w:noProof/>
          </w:rPr>
          <w:t>Safe, secure and resilient supply chains</w:t>
        </w:r>
        <w:r>
          <w:rPr>
            <w:noProof/>
            <w:webHidden/>
          </w:rPr>
          <w:tab/>
        </w:r>
        <w:r>
          <w:rPr>
            <w:noProof/>
            <w:webHidden/>
          </w:rPr>
          <w:fldChar w:fldCharType="begin"/>
        </w:r>
        <w:r>
          <w:rPr>
            <w:noProof/>
            <w:webHidden/>
          </w:rPr>
          <w:instrText xml:space="preserve"> PAGEREF _Toc228276358 \h </w:instrText>
        </w:r>
        <w:r>
          <w:rPr>
            <w:noProof/>
            <w:webHidden/>
          </w:rPr>
        </w:r>
        <w:r>
          <w:rPr>
            <w:noProof/>
            <w:webHidden/>
          </w:rPr>
          <w:fldChar w:fldCharType="separate"/>
        </w:r>
        <w:r>
          <w:rPr>
            <w:noProof/>
            <w:webHidden/>
          </w:rPr>
          <w:t>24</w:t>
        </w:r>
        <w:r>
          <w:rPr>
            <w:noProof/>
            <w:webHidden/>
          </w:rPr>
          <w:fldChar w:fldCharType="end"/>
        </w:r>
      </w:hyperlink>
    </w:p>
    <w:p w14:paraId="4C13447D" w14:textId="28E92620" w:rsidR="00C45BC2" w:rsidRDefault="00C45BC2">
      <w:pPr>
        <w:pStyle w:val="TOC1"/>
        <w:rPr>
          <w:b w:val="0"/>
          <w:noProof/>
          <w:kern w:val="2"/>
          <w:szCs w:val="24"/>
          <w:u w:val="none"/>
          <w:lang w:eastAsia="en-AU"/>
          <w14:ligatures w14:val="standardContextual"/>
        </w:rPr>
      </w:pPr>
      <w:hyperlink w:anchor="_Toc228276359" w:history="1">
        <w:r w:rsidRPr="009C1BC4">
          <w:rPr>
            <w:rStyle w:val="Hyperlink"/>
            <w:noProof/>
          </w:rPr>
          <w:t>Looking ahead</w:t>
        </w:r>
        <w:r>
          <w:rPr>
            <w:noProof/>
            <w:webHidden/>
          </w:rPr>
          <w:tab/>
        </w:r>
        <w:r>
          <w:rPr>
            <w:noProof/>
            <w:webHidden/>
          </w:rPr>
          <w:fldChar w:fldCharType="begin"/>
        </w:r>
        <w:r>
          <w:rPr>
            <w:noProof/>
            <w:webHidden/>
          </w:rPr>
          <w:instrText xml:space="preserve"> PAGEREF _Toc228276359 \h </w:instrText>
        </w:r>
        <w:r>
          <w:rPr>
            <w:noProof/>
            <w:webHidden/>
          </w:rPr>
        </w:r>
        <w:r>
          <w:rPr>
            <w:noProof/>
            <w:webHidden/>
          </w:rPr>
          <w:fldChar w:fldCharType="separate"/>
        </w:r>
        <w:r>
          <w:rPr>
            <w:noProof/>
            <w:webHidden/>
          </w:rPr>
          <w:t>30</w:t>
        </w:r>
        <w:r>
          <w:rPr>
            <w:noProof/>
            <w:webHidden/>
          </w:rPr>
          <w:fldChar w:fldCharType="end"/>
        </w:r>
      </w:hyperlink>
    </w:p>
    <w:p w14:paraId="23D00410" w14:textId="1A374DF9" w:rsidR="00DE4FE2" w:rsidRDefault="00A95970">
      <w:r>
        <w:fldChar w:fldCharType="end"/>
      </w:r>
    </w:p>
    <w:p w14:paraId="73A8FDF2" w14:textId="77777777" w:rsidR="00D63337" w:rsidRDefault="00D63337">
      <w:pPr>
        <w:rPr>
          <w:rFonts w:asciiTheme="majorHAnsi" w:eastAsiaTheme="majorEastAsia" w:hAnsiTheme="majorHAnsi" w:cstheme="majorBidi"/>
          <w:color w:val="06162E" w:themeColor="accent1" w:themeShade="BF"/>
          <w:sz w:val="32"/>
          <w:szCs w:val="32"/>
        </w:rPr>
      </w:pPr>
      <w:r>
        <w:br w:type="page"/>
      </w:r>
    </w:p>
    <w:p w14:paraId="7E389C92" w14:textId="1C1BDAE3" w:rsidR="006E1ECA" w:rsidRDefault="006E1ECA" w:rsidP="006E1ECA">
      <w:pPr>
        <w:pStyle w:val="TOCHeading"/>
      </w:pPr>
      <w:r>
        <w:lastRenderedPageBreak/>
        <w:t>List of Figures and Tables</w:t>
      </w:r>
    </w:p>
    <w:p w14:paraId="5A9BF706" w14:textId="02C1BD38" w:rsidR="00C45BC2" w:rsidRDefault="006E1ECA">
      <w:pPr>
        <w:pStyle w:val="TableofFigures"/>
        <w:tabs>
          <w:tab w:val="right" w:leader="dot" w:pos="9854"/>
        </w:tabs>
        <w:rPr>
          <w:noProof/>
          <w:kern w:val="2"/>
          <w:sz w:val="24"/>
          <w:szCs w:val="24"/>
          <w:lang w:eastAsia="en-AU"/>
          <w14:ligatures w14:val="standardContextual"/>
        </w:rPr>
      </w:pPr>
      <w:r>
        <w:fldChar w:fldCharType="begin"/>
      </w:r>
      <w:r>
        <w:instrText xml:space="preserve"> TOC \h \z \t "Caption" \c </w:instrText>
      </w:r>
      <w:r>
        <w:fldChar w:fldCharType="separate"/>
      </w:r>
      <w:hyperlink w:anchor="_Toc228276360" w:history="1">
        <w:r w:rsidR="00C45BC2" w:rsidRPr="00C5173A">
          <w:rPr>
            <w:rStyle w:val="Hyperlink"/>
            <w:noProof/>
          </w:rPr>
          <w:t>Figure 1 Domestic freight by transport mode—total bulk and non–bulk</w:t>
        </w:r>
        <w:r w:rsidR="00C45BC2">
          <w:rPr>
            <w:noProof/>
            <w:webHidden/>
          </w:rPr>
          <w:tab/>
        </w:r>
        <w:r w:rsidR="00C45BC2">
          <w:rPr>
            <w:noProof/>
            <w:webHidden/>
          </w:rPr>
          <w:fldChar w:fldCharType="begin"/>
        </w:r>
        <w:r w:rsidR="00C45BC2">
          <w:rPr>
            <w:noProof/>
            <w:webHidden/>
          </w:rPr>
          <w:instrText xml:space="preserve"> PAGEREF _Toc228276360 \h </w:instrText>
        </w:r>
        <w:r w:rsidR="00C45BC2">
          <w:rPr>
            <w:noProof/>
            <w:webHidden/>
          </w:rPr>
        </w:r>
        <w:r w:rsidR="00C45BC2">
          <w:rPr>
            <w:noProof/>
            <w:webHidden/>
          </w:rPr>
          <w:fldChar w:fldCharType="separate"/>
        </w:r>
        <w:r w:rsidR="00C45BC2">
          <w:rPr>
            <w:noProof/>
            <w:webHidden/>
          </w:rPr>
          <w:t>17</w:t>
        </w:r>
        <w:r w:rsidR="00C45BC2">
          <w:rPr>
            <w:noProof/>
            <w:webHidden/>
          </w:rPr>
          <w:fldChar w:fldCharType="end"/>
        </w:r>
      </w:hyperlink>
    </w:p>
    <w:p w14:paraId="2C60880F" w14:textId="49112806" w:rsidR="00C45BC2" w:rsidRDefault="00C45BC2">
      <w:pPr>
        <w:pStyle w:val="TableofFigures"/>
        <w:tabs>
          <w:tab w:val="right" w:leader="dot" w:pos="9854"/>
        </w:tabs>
        <w:rPr>
          <w:noProof/>
          <w:kern w:val="2"/>
          <w:sz w:val="24"/>
          <w:szCs w:val="24"/>
          <w:lang w:eastAsia="en-AU"/>
          <w14:ligatures w14:val="standardContextual"/>
        </w:rPr>
      </w:pPr>
      <w:hyperlink w:anchor="_Toc228276361" w:history="1">
        <w:r w:rsidRPr="00C5173A">
          <w:rPr>
            <w:rStyle w:val="Hyperlink"/>
            <w:noProof/>
          </w:rPr>
          <w:t>Figure 2 Domestic freight by transport mode—bulk</w:t>
        </w:r>
        <w:r>
          <w:rPr>
            <w:noProof/>
            <w:webHidden/>
          </w:rPr>
          <w:tab/>
        </w:r>
        <w:r>
          <w:rPr>
            <w:noProof/>
            <w:webHidden/>
          </w:rPr>
          <w:fldChar w:fldCharType="begin"/>
        </w:r>
        <w:r>
          <w:rPr>
            <w:noProof/>
            <w:webHidden/>
          </w:rPr>
          <w:instrText xml:space="preserve"> PAGEREF _Toc228276361 \h </w:instrText>
        </w:r>
        <w:r>
          <w:rPr>
            <w:noProof/>
            <w:webHidden/>
          </w:rPr>
        </w:r>
        <w:r>
          <w:rPr>
            <w:noProof/>
            <w:webHidden/>
          </w:rPr>
          <w:fldChar w:fldCharType="separate"/>
        </w:r>
        <w:r>
          <w:rPr>
            <w:noProof/>
            <w:webHidden/>
          </w:rPr>
          <w:t>18</w:t>
        </w:r>
        <w:r>
          <w:rPr>
            <w:noProof/>
            <w:webHidden/>
          </w:rPr>
          <w:fldChar w:fldCharType="end"/>
        </w:r>
      </w:hyperlink>
    </w:p>
    <w:p w14:paraId="0E5069FD" w14:textId="5A6A3B0A" w:rsidR="00C45BC2" w:rsidRDefault="00C45BC2">
      <w:pPr>
        <w:pStyle w:val="TableofFigures"/>
        <w:tabs>
          <w:tab w:val="right" w:leader="dot" w:pos="9854"/>
        </w:tabs>
        <w:rPr>
          <w:noProof/>
          <w:kern w:val="2"/>
          <w:sz w:val="24"/>
          <w:szCs w:val="24"/>
          <w:lang w:eastAsia="en-AU"/>
          <w14:ligatures w14:val="standardContextual"/>
        </w:rPr>
      </w:pPr>
      <w:hyperlink w:anchor="_Toc228276362" w:history="1">
        <w:r w:rsidRPr="00C5173A">
          <w:rPr>
            <w:rStyle w:val="Hyperlink"/>
            <w:noProof/>
          </w:rPr>
          <w:t>Figure 3 Domestic freight by transport mode—non-bulk</w:t>
        </w:r>
        <w:r>
          <w:rPr>
            <w:noProof/>
            <w:webHidden/>
          </w:rPr>
          <w:tab/>
        </w:r>
        <w:r>
          <w:rPr>
            <w:noProof/>
            <w:webHidden/>
          </w:rPr>
          <w:fldChar w:fldCharType="begin"/>
        </w:r>
        <w:r>
          <w:rPr>
            <w:noProof/>
            <w:webHidden/>
          </w:rPr>
          <w:instrText xml:space="preserve"> PAGEREF _Toc228276362 \h </w:instrText>
        </w:r>
        <w:r>
          <w:rPr>
            <w:noProof/>
            <w:webHidden/>
          </w:rPr>
        </w:r>
        <w:r>
          <w:rPr>
            <w:noProof/>
            <w:webHidden/>
          </w:rPr>
          <w:fldChar w:fldCharType="separate"/>
        </w:r>
        <w:r>
          <w:rPr>
            <w:noProof/>
            <w:webHidden/>
          </w:rPr>
          <w:t>18</w:t>
        </w:r>
        <w:r>
          <w:rPr>
            <w:noProof/>
            <w:webHidden/>
          </w:rPr>
          <w:fldChar w:fldCharType="end"/>
        </w:r>
      </w:hyperlink>
    </w:p>
    <w:p w14:paraId="3DFECDC7" w14:textId="021AC945" w:rsidR="00C45BC2" w:rsidRDefault="00C45BC2">
      <w:pPr>
        <w:pStyle w:val="TableofFigures"/>
        <w:tabs>
          <w:tab w:val="right" w:leader="dot" w:pos="9854"/>
        </w:tabs>
        <w:rPr>
          <w:noProof/>
          <w:kern w:val="2"/>
          <w:sz w:val="24"/>
          <w:szCs w:val="24"/>
          <w:lang w:eastAsia="en-AU"/>
          <w14:ligatures w14:val="standardContextual"/>
        </w:rPr>
      </w:pPr>
      <w:hyperlink w:anchor="_Toc228276363" w:history="1">
        <w:r w:rsidRPr="00C5173A">
          <w:rPr>
            <w:rStyle w:val="Hyperlink"/>
            <w:noProof/>
          </w:rPr>
          <w:t>Figure 4 Freight transport full fuel cycle greenhouse gas (carbon dioxide equivalent) emissions, by transport mode</w:t>
        </w:r>
        <w:r>
          <w:rPr>
            <w:noProof/>
            <w:webHidden/>
          </w:rPr>
          <w:tab/>
        </w:r>
        <w:r>
          <w:rPr>
            <w:noProof/>
            <w:webHidden/>
          </w:rPr>
          <w:fldChar w:fldCharType="begin"/>
        </w:r>
        <w:r>
          <w:rPr>
            <w:noProof/>
            <w:webHidden/>
          </w:rPr>
          <w:instrText xml:space="preserve"> PAGEREF _Toc228276363 \h </w:instrText>
        </w:r>
        <w:r>
          <w:rPr>
            <w:noProof/>
            <w:webHidden/>
          </w:rPr>
        </w:r>
        <w:r>
          <w:rPr>
            <w:noProof/>
            <w:webHidden/>
          </w:rPr>
          <w:fldChar w:fldCharType="separate"/>
        </w:r>
        <w:r>
          <w:rPr>
            <w:noProof/>
            <w:webHidden/>
          </w:rPr>
          <w:t>19</w:t>
        </w:r>
        <w:r>
          <w:rPr>
            <w:noProof/>
            <w:webHidden/>
          </w:rPr>
          <w:fldChar w:fldCharType="end"/>
        </w:r>
      </w:hyperlink>
    </w:p>
    <w:p w14:paraId="73290DFA" w14:textId="40E22AC2" w:rsidR="00C45BC2" w:rsidRDefault="00C45BC2">
      <w:pPr>
        <w:pStyle w:val="TableofFigures"/>
        <w:tabs>
          <w:tab w:val="right" w:leader="dot" w:pos="9854"/>
        </w:tabs>
        <w:rPr>
          <w:noProof/>
          <w:kern w:val="2"/>
          <w:sz w:val="24"/>
          <w:szCs w:val="24"/>
          <w:lang w:eastAsia="en-AU"/>
          <w14:ligatures w14:val="standardContextual"/>
        </w:rPr>
      </w:pPr>
      <w:hyperlink w:anchor="_Toc228276364" w:history="1">
        <w:r w:rsidRPr="00C5173A">
          <w:rPr>
            <w:rStyle w:val="Hyperlink"/>
            <w:noProof/>
          </w:rPr>
          <w:t>Figure 5 Emissions intensity by transport mode 2024-25</w:t>
        </w:r>
        <w:r>
          <w:rPr>
            <w:noProof/>
            <w:webHidden/>
          </w:rPr>
          <w:tab/>
        </w:r>
        <w:r>
          <w:rPr>
            <w:noProof/>
            <w:webHidden/>
          </w:rPr>
          <w:fldChar w:fldCharType="begin"/>
        </w:r>
        <w:r>
          <w:rPr>
            <w:noProof/>
            <w:webHidden/>
          </w:rPr>
          <w:instrText xml:space="preserve"> PAGEREF _Toc228276364 \h </w:instrText>
        </w:r>
        <w:r>
          <w:rPr>
            <w:noProof/>
            <w:webHidden/>
          </w:rPr>
        </w:r>
        <w:r>
          <w:rPr>
            <w:noProof/>
            <w:webHidden/>
          </w:rPr>
          <w:fldChar w:fldCharType="separate"/>
        </w:r>
        <w:r>
          <w:rPr>
            <w:noProof/>
            <w:webHidden/>
          </w:rPr>
          <w:t>20</w:t>
        </w:r>
        <w:r>
          <w:rPr>
            <w:noProof/>
            <w:webHidden/>
          </w:rPr>
          <w:fldChar w:fldCharType="end"/>
        </w:r>
      </w:hyperlink>
    </w:p>
    <w:p w14:paraId="090A22FD" w14:textId="7412FE08" w:rsidR="00C45BC2" w:rsidRDefault="00C45BC2">
      <w:pPr>
        <w:pStyle w:val="TableofFigures"/>
        <w:tabs>
          <w:tab w:val="right" w:leader="dot" w:pos="9854"/>
        </w:tabs>
        <w:rPr>
          <w:noProof/>
          <w:kern w:val="2"/>
          <w:sz w:val="24"/>
          <w:szCs w:val="24"/>
          <w:lang w:eastAsia="en-AU"/>
          <w14:ligatures w14:val="standardContextual"/>
        </w:rPr>
      </w:pPr>
      <w:hyperlink w:anchor="_Toc228276365" w:history="1">
        <w:r w:rsidRPr="00C5173A">
          <w:rPr>
            <w:rStyle w:val="Hyperlink"/>
            <w:noProof/>
          </w:rPr>
          <w:t>Figure 6 World Bank Logistics Performance Index</w:t>
        </w:r>
        <w:r>
          <w:rPr>
            <w:noProof/>
            <w:webHidden/>
          </w:rPr>
          <w:tab/>
        </w:r>
        <w:r>
          <w:rPr>
            <w:noProof/>
            <w:webHidden/>
          </w:rPr>
          <w:fldChar w:fldCharType="begin"/>
        </w:r>
        <w:r>
          <w:rPr>
            <w:noProof/>
            <w:webHidden/>
          </w:rPr>
          <w:instrText xml:space="preserve"> PAGEREF _Toc228276365 \h </w:instrText>
        </w:r>
        <w:r>
          <w:rPr>
            <w:noProof/>
            <w:webHidden/>
          </w:rPr>
        </w:r>
        <w:r>
          <w:rPr>
            <w:noProof/>
            <w:webHidden/>
          </w:rPr>
          <w:fldChar w:fldCharType="separate"/>
        </w:r>
        <w:r>
          <w:rPr>
            <w:noProof/>
            <w:webHidden/>
          </w:rPr>
          <w:t>22</w:t>
        </w:r>
        <w:r>
          <w:rPr>
            <w:noProof/>
            <w:webHidden/>
          </w:rPr>
          <w:fldChar w:fldCharType="end"/>
        </w:r>
      </w:hyperlink>
    </w:p>
    <w:p w14:paraId="64ECFE6D" w14:textId="36070FD0" w:rsidR="00C45BC2" w:rsidRDefault="00C45BC2">
      <w:pPr>
        <w:pStyle w:val="TableofFigures"/>
        <w:tabs>
          <w:tab w:val="right" w:leader="dot" w:pos="9854"/>
        </w:tabs>
        <w:rPr>
          <w:noProof/>
          <w:kern w:val="2"/>
          <w:sz w:val="24"/>
          <w:szCs w:val="24"/>
          <w:lang w:eastAsia="en-AU"/>
          <w14:ligatures w14:val="standardContextual"/>
        </w:rPr>
      </w:pPr>
      <w:hyperlink w:anchor="_Toc228276366" w:history="1">
        <w:r w:rsidRPr="00C5173A">
          <w:rPr>
            <w:rStyle w:val="Hyperlink"/>
            <w:noProof/>
          </w:rPr>
          <w:t>Figure 7 Australia's LPI score for each domain</w:t>
        </w:r>
        <w:r>
          <w:rPr>
            <w:noProof/>
            <w:webHidden/>
          </w:rPr>
          <w:tab/>
        </w:r>
        <w:r>
          <w:rPr>
            <w:noProof/>
            <w:webHidden/>
          </w:rPr>
          <w:fldChar w:fldCharType="begin"/>
        </w:r>
        <w:r>
          <w:rPr>
            <w:noProof/>
            <w:webHidden/>
          </w:rPr>
          <w:instrText xml:space="preserve"> PAGEREF _Toc228276366 \h </w:instrText>
        </w:r>
        <w:r>
          <w:rPr>
            <w:noProof/>
            <w:webHidden/>
          </w:rPr>
        </w:r>
        <w:r>
          <w:rPr>
            <w:noProof/>
            <w:webHidden/>
          </w:rPr>
          <w:fldChar w:fldCharType="separate"/>
        </w:r>
        <w:r>
          <w:rPr>
            <w:noProof/>
            <w:webHidden/>
          </w:rPr>
          <w:t>22</w:t>
        </w:r>
        <w:r>
          <w:rPr>
            <w:noProof/>
            <w:webHidden/>
          </w:rPr>
          <w:fldChar w:fldCharType="end"/>
        </w:r>
      </w:hyperlink>
    </w:p>
    <w:p w14:paraId="72E9967A" w14:textId="53E08B53" w:rsidR="00C45BC2" w:rsidRDefault="00C45BC2">
      <w:pPr>
        <w:pStyle w:val="TableofFigures"/>
        <w:tabs>
          <w:tab w:val="right" w:leader="dot" w:pos="9854"/>
        </w:tabs>
        <w:rPr>
          <w:noProof/>
          <w:kern w:val="2"/>
          <w:sz w:val="24"/>
          <w:szCs w:val="24"/>
          <w:lang w:eastAsia="en-AU"/>
          <w14:ligatures w14:val="standardContextual"/>
        </w:rPr>
      </w:pPr>
      <w:hyperlink w:anchor="_Toc228276367" w:history="1">
        <w:r w:rsidRPr="00C5173A">
          <w:rPr>
            <w:rStyle w:val="Hyperlink"/>
            <w:noProof/>
          </w:rPr>
          <w:t>Figure 8 Producer Price Indexes, June quarter 2015 to June quarter 2025.</w:t>
        </w:r>
        <w:r>
          <w:rPr>
            <w:noProof/>
            <w:webHidden/>
          </w:rPr>
          <w:tab/>
        </w:r>
        <w:r>
          <w:rPr>
            <w:noProof/>
            <w:webHidden/>
          </w:rPr>
          <w:fldChar w:fldCharType="begin"/>
        </w:r>
        <w:r>
          <w:rPr>
            <w:noProof/>
            <w:webHidden/>
          </w:rPr>
          <w:instrText xml:space="preserve"> PAGEREF _Toc228276367 \h </w:instrText>
        </w:r>
        <w:r>
          <w:rPr>
            <w:noProof/>
            <w:webHidden/>
          </w:rPr>
        </w:r>
        <w:r>
          <w:rPr>
            <w:noProof/>
            <w:webHidden/>
          </w:rPr>
          <w:fldChar w:fldCharType="separate"/>
        </w:r>
        <w:r>
          <w:rPr>
            <w:noProof/>
            <w:webHidden/>
          </w:rPr>
          <w:t>23</w:t>
        </w:r>
        <w:r>
          <w:rPr>
            <w:noProof/>
            <w:webHidden/>
          </w:rPr>
          <w:fldChar w:fldCharType="end"/>
        </w:r>
      </w:hyperlink>
    </w:p>
    <w:p w14:paraId="063EC255" w14:textId="0BEAE106" w:rsidR="00C45BC2" w:rsidRDefault="00C45BC2">
      <w:pPr>
        <w:pStyle w:val="TableofFigures"/>
        <w:tabs>
          <w:tab w:val="right" w:leader="dot" w:pos="9854"/>
        </w:tabs>
        <w:rPr>
          <w:noProof/>
          <w:kern w:val="2"/>
          <w:sz w:val="24"/>
          <w:szCs w:val="24"/>
          <w:lang w:eastAsia="en-AU"/>
          <w14:ligatures w14:val="standardContextual"/>
        </w:rPr>
      </w:pPr>
      <w:hyperlink w:anchor="_Toc228276368" w:history="1">
        <w:r w:rsidRPr="00C5173A">
          <w:rPr>
            <w:rStyle w:val="Hyperlink"/>
            <w:noProof/>
          </w:rPr>
          <w:t>Figure 9 Number of unplanned closures of the National Land Transport road network due to fire or flood 2023-24 and 2024-25</w:t>
        </w:r>
        <w:r>
          <w:rPr>
            <w:noProof/>
            <w:webHidden/>
          </w:rPr>
          <w:tab/>
        </w:r>
        <w:r>
          <w:rPr>
            <w:noProof/>
            <w:webHidden/>
          </w:rPr>
          <w:fldChar w:fldCharType="begin"/>
        </w:r>
        <w:r>
          <w:rPr>
            <w:noProof/>
            <w:webHidden/>
          </w:rPr>
          <w:instrText xml:space="preserve"> PAGEREF _Toc228276368 \h </w:instrText>
        </w:r>
        <w:r>
          <w:rPr>
            <w:noProof/>
            <w:webHidden/>
          </w:rPr>
        </w:r>
        <w:r>
          <w:rPr>
            <w:noProof/>
            <w:webHidden/>
          </w:rPr>
          <w:fldChar w:fldCharType="separate"/>
        </w:r>
        <w:r>
          <w:rPr>
            <w:noProof/>
            <w:webHidden/>
          </w:rPr>
          <w:t>24</w:t>
        </w:r>
        <w:r>
          <w:rPr>
            <w:noProof/>
            <w:webHidden/>
          </w:rPr>
          <w:fldChar w:fldCharType="end"/>
        </w:r>
      </w:hyperlink>
    </w:p>
    <w:p w14:paraId="30B1DBAC" w14:textId="19A4368E" w:rsidR="00C45BC2" w:rsidRDefault="00C45BC2">
      <w:pPr>
        <w:pStyle w:val="TableofFigures"/>
        <w:tabs>
          <w:tab w:val="right" w:leader="dot" w:pos="9854"/>
        </w:tabs>
        <w:rPr>
          <w:noProof/>
          <w:kern w:val="2"/>
          <w:sz w:val="24"/>
          <w:szCs w:val="24"/>
          <w:lang w:eastAsia="en-AU"/>
          <w14:ligatures w14:val="standardContextual"/>
        </w:rPr>
      </w:pPr>
      <w:hyperlink w:anchor="_Toc228276369" w:history="1">
        <w:r w:rsidRPr="00C5173A">
          <w:rPr>
            <w:rStyle w:val="Hyperlink"/>
            <w:noProof/>
          </w:rPr>
          <w:t>Figure 10 Count of fatalities and crashes involving trucks</w:t>
        </w:r>
        <w:r>
          <w:rPr>
            <w:noProof/>
            <w:webHidden/>
          </w:rPr>
          <w:tab/>
        </w:r>
        <w:r>
          <w:rPr>
            <w:noProof/>
            <w:webHidden/>
          </w:rPr>
          <w:fldChar w:fldCharType="begin"/>
        </w:r>
        <w:r>
          <w:rPr>
            <w:noProof/>
            <w:webHidden/>
          </w:rPr>
          <w:instrText xml:space="preserve"> PAGEREF _Toc228276369 \h </w:instrText>
        </w:r>
        <w:r>
          <w:rPr>
            <w:noProof/>
            <w:webHidden/>
          </w:rPr>
        </w:r>
        <w:r>
          <w:rPr>
            <w:noProof/>
            <w:webHidden/>
          </w:rPr>
          <w:fldChar w:fldCharType="separate"/>
        </w:r>
        <w:r>
          <w:rPr>
            <w:noProof/>
            <w:webHidden/>
          </w:rPr>
          <w:t>25</w:t>
        </w:r>
        <w:r>
          <w:rPr>
            <w:noProof/>
            <w:webHidden/>
          </w:rPr>
          <w:fldChar w:fldCharType="end"/>
        </w:r>
      </w:hyperlink>
    </w:p>
    <w:p w14:paraId="32451014" w14:textId="2B2D98B3" w:rsidR="00C45BC2" w:rsidRDefault="00C45BC2">
      <w:pPr>
        <w:pStyle w:val="TableofFigures"/>
        <w:tabs>
          <w:tab w:val="right" w:leader="dot" w:pos="9854"/>
        </w:tabs>
        <w:rPr>
          <w:noProof/>
          <w:kern w:val="2"/>
          <w:sz w:val="24"/>
          <w:szCs w:val="24"/>
          <w:lang w:eastAsia="en-AU"/>
          <w14:ligatures w14:val="standardContextual"/>
        </w:rPr>
      </w:pPr>
      <w:hyperlink w:anchor="_Toc228276370" w:history="1">
        <w:r w:rsidRPr="00C5173A">
          <w:rPr>
            <w:rStyle w:val="Hyperlink"/>
            <w:noProof/>
          </w:rPr>
          <w:t>Figure 11 Rate of fatalities and fatal crashes involving trucks (per billion vehicle kilometres travelled)</w:t>
        </w:r>
        <w:r>
          <w:rPr>
            <w:noProof/>
            <w:webHidden/>
          </w:rPr>
          <w:tab/>
        </w:r>
        <w:r>
          <w:rPr>
            <w:noProof/>
            <w:webHidden/>
          </w:rPr>
          <w:fldChar w:fldCharType="begin"/>
        </w:r>
        <w:r>
          <w:rPr>
            <w:noProof/>
            <w:webHidden/>
          </w:rPr>
          <w:instrText xml:space="preserve"> PAGEREF _Toc228276370 \h </w:instrText>
        </w:r>
        <w:r>
          <w:rPr>
            <w:noProof/>
            <w:webHidden/>
          </w:rPr>
        </w:r>
        <w:r>
          <w:rPr>
            <w:noProof/>
            <w:webHidden/>
          </w:rPr>
          <w:fldChar w:fldCharType="separate"/>
        </w:r>
        <w:r>
          <w:rPr>
            <w:noProof/>
            <w:webHidden/>
          </w:rPr>
          <w:t>26</w:t>
        </w:r>
        <w:r>
          <w:rPr>
            <w:noProof/>
            <w:webHidden/>
          </w:rPr>
          <w:fldChar w:fldCharType="end"/>
        </w:r>
      </w:hyperlink>
    </w:p>
    <w:p w14:paraId="1E86AAC1" w14:textId="5191A7EF" w:rsidR="00C45BC2" w:rsidRDefault="00C45BC2">
      <w:pPr>
        <w:pStyle w:val="TableofFigures"/>
        <w:tabs>
          <w:tab w:val="right" w:leader="dot" w:pos="9854"/>
        </w:tabs>
        <w:rPr>
          <w:noProof/>
          <w:kern w:val="2"/>
          <w:sz w:val="24"/>
          <w:szCs w:val="24"/>
          <w:lang w:eastAsia="en-AU"/>
          <w14:ligatures w14:val="standardContextual"/>
        </w:rPr>
      </w:pPr>
      <w:hyperlink w:anchor="_Toc228276371" w:history="1">
        <w:r w:rsidRPr="00C5173A">
          <w:rPr>
            <w:rStyle w:val="Hyperlink"/>
            <w:noProof/>
          </w:rPr>
          <w:t>Figure 12 Number of train fatalities and serious injuries</w:t>
        </w:r>
        <w:r>
          <w:rPr>
            <w:noProof/>
            <w:webHidden/>
          </w:rPr>
          <w:tab/>
        </w:r>
        <w:r>
          <w:rPr>
            <w:noProof/>
            <w:webHidden/>
          </w:rPr>
          <w:fldChar w:fldCharType="begin"/>
        </w:r>
        <w:r>
          <w:rPr>
            <w:noProof/>
            <w:webHidden/>
          </w:rPr>
          <w:instrText xml:space="preserve"> PAGEREF _Toc228276371 \h </w:instrText>
        </w:r>
        <w:r>
          <w:rPr>
            <w:noProof/>
            <w:webHidden/>
          </w:rPr>
        </w:r>
        <w:r>
          <w:rPr>
            <w:noProof/>
            <w:webHidden/>
          </w:rPr>
          <w:fldChar w:fldCharType="separate"/>
        </w:r>
        <w:r>
          <w:rPr>
            <w:noProof/>
            <w:webHidden/>
          </w:rPr>
          <w:t>27</w:t>
        </w:r>
        <w:r>
          <w:rPr>
            <w:noProof/>
            <w:webHidden/>
          </w:rPr>
          <w:fldChar w:fldCharType="end"/>
        </w:r>
      </w:hyperlink>
    </w:p>
    <w:p w14:paraId="2F517FA3" w14:textId="65186580" w:rsidR="00C45BC2" w:rsidRDefault="00C45BC2">
      <w:pPr>
        <w:pStyle w:val="TableofFigures"/>
        <w:tabs>
          <w:tab w:val="right" w:leader="dot" w:pos="9854"/>
        </w:tabs>
        <w:rPr>
          <w:noProof/>
          <w:kern w:val="2"/>
          <w:sz w:val="24"/>
          <w:szCs w:val="24"/>
          <w:lang w:eastAsia="en-AU"/>
          <w14:ligatures w14:val="standardContextual"/>
        </w:rPr>
      </w:pPr>
      <w:hyperlink w:anchor="_Toc228276372" w:history="1">
        <w:r w:rsidRPr="00C5173A">
          <w:rPr>
            <w:rStyle w:val="Hyperlink"/>
            <w:noProof/>
          </w:rPr>
          <w:t>Table 1 Collision and near hit incidents involving freight trains at level crossings</w:t>
        </w:r>
        <w:r>
          <w:rPr>
            <w:noProof/>
            <w:webHidden/>
          </w:rPr>
          <w:tab/>
        </w:r>
        <w:r>
          <w:rPr>
            <w:noProof/>
            <w:webHidden/>
          </w:rPr>
          <w:fldChar w:fldCharType="begin"/>
        </w:r>
        <w:r>
          <w:rPr>
            <w:noProof/>
            <w:webHidden/>
          </w:rPr>
          <w:instrText xml:space="preserve"> PAGEREF _Toc228276372 \h </w:instrText>
        </w:r>
        <w:r>
          <w:rPr>
            <w:noProof/>
            <w:webHidden/>
          </w:rPr>
        </w:r>
        <w:r>
          <w:rPr>
            <w:noProof/>
            <w:webHidden/>
          </w:rPr>
          <w:fldChar w:fldCharType="separate"/>
        </w:r>
        <w:r>
          <w:rPr>
            <w:noProof/>
            <w:webHidden/>
          </w:rPr>
          <w:t>27</w:t>
        </w:r>
        <w:r>
          <w:rPr>
            <w:noProof/>
            <w:webHidden/>
          </w:rPr>
          <w:fldChar w:fldCharType="end"/>
        </w:r>
      </w:hyperlink>
    </w:p>
    <w:p w14:paraId="649A5BAA" w14:textId="786804F3" w:rsidR="00C45BC2" w:rsidRDefault="00C45BC2">
      <w:pPr>
        <w:pStyle w:val="TableofFigures"/>
        <w:tabs>
          <w:tab w:val="right" w:leader="dot" w:pos="9854"/>
        </w:tabs>
        <w:rPr>
          <w:noProof/>
          <w:kern w:val="2"/>
          <w:sz w:val="24"/>
          <w:szCs w:val="24"/>
          <w:lang w:eastAsia="en-AU"/>
          <w14:ligatures w14:val="standardContextual"/>
        </w:rPr>
      </w:pPr>
      <w:hyperlink w:anchor="_Toc228276373" w:history="1">
        <w:r w:rsidRPr="00C5173A">
          <w:rPr>
            <w:rStyle w:val="Hyperlink"/>
            <w:noProof/>
          </w:rPr>
          <w:t>Figure 13 Fatality rate of employees in the Transport, Postal and Warehousing industry</w:t>
        </w:r>
        <w:r>
          <w:rPr>
            <w:noProof/>
            <w:webHidden/>
          </w:rPr>
          <w:tab/>
        </w:r>
        <w:r>
          <w:rPr>
            <w:noProof/>
            <w:webHidden/>
          </w:rPr>
          <w:fldChar w:fldCharType="begin"/>
        </w:r>
        <w:r>
          <w:rPr>
            <w:noProof/>
            <w:webHidden/>
          </w:rPr>
          <w:instrText xml:space="preserve"> PAGEREF _Toc228276373 \h </w:instrText>
        </w:r>
        <w:r>
          <w:rPr>
            <w:noProof/>
            <w:webHidden/>
          </w:rPr>
        </w:r>
        <w:r>
          <w:rPr>
            <w:noProof/>
            <w:webHidden/>
          </w:rPr>
          <w:fldChar w:fldCharType="separate"/>
        </w:r>
        <w:r>
          <w:rPr>
            <w:noProof/>
            <w:webHidden/>
          </w:rPr>
          <w:t>28</w:t>
        </w:r>
        <w:r>
          <w:rPr>
            <w:noProof/>
            <w:webHidden/>
          </w:rPr>
          <w:fldChar w:fldCharType="end"/>
        </w:r>
      </w:hyperlink>
    </w:p>
    <w:p w14:paraId="10BB8597" w14:textId="2273A62D" w:rsidR="00C45BC2" w:rsidRDefault="00C45BC2">
      <w:pPr>
        <w:pStyle w:val="TableofFigures"/>
        <w:tabs>
          <w:tab w:val="right" w:leader="dot" w:pos="9854"/>
        </w:tabs>
        <w:rPr>
          <w:noProof/>
          <w:kern w:val="2"/>
          <w:sz w:val="24"/>
          <w:szCs w:val="24"/>
          <w:lang w:eastAsia="en-AU"/>
          <w14:ligatures w14:val="standardContextual"/>
        </w:rPr>
      </w:pPr>
      <w:hyperlink w:anchor="_Toc228276374" w:history="1">
        <w:r w:rsidRPr="00C5173A">
          <w:rPr>
            <w:rStyle w:val="Hyperlink"/>
            <w:noProof/>
          </w:rPr>
          <w:t>Figure 14 Serious claims worker compensation injury incidence rate in the Transport, Postal and Warehousing industry</w:t>
        </w:r>
        <w:r>
          <w:rPr>
            <w:noProof/>
            <w:webHidden/>
          </w:rPr>
          <w:tab/>
        </w:r>
        <w:r>
          <w:rPr>
            <w:noProof/>
            <w:webHidden/>
          </w:rPr>
          <w:fldChar w:fldCharType="begin"/>
        </w:r>
        <w:r>
          <w:rPr>
            <w:noProof/>
            <w:webHidden/>
          </w:rPr>
          <w:instrText xml:space="preserve"> PAGEREF _Toc228276374 \h </w:instrText>
        </w:r>
        <w:r>
          <w:rPr>
            <w:noProof/>
            <w:webHidden/>
          </w:rPr>
        </w:r>
        <w:r>
          <w:rPr>
            <w:noProof/>
            <w:webHidden/>
          </w:rPr>
          <w:fldChar w:fldCharType="separate"/>
        </w:r>
        <w:r>
          <w:rPr>
            <w:noProof/>
            <w:webHidden/>
          </w:rPr>
          <w:t>29</w:t>
        </w:r>
        <w:r>
          <w:rPr>
            <w:noProof/>
            <w:webHidden/>
          </w:rPr>
          <w:fldChar w:fldCharType="end"/>
        </w:r>
      </w:hyperlink>
    </w:p>
    <w:p w14:paraId="0500BCDD" w14:textId="1C1BB64D" w:rsidR="00C45BC2" w:rsidRDefault="00C45BC2">
      <w:pPr>
        <w:pStyle w:val="TableofFigures"/>
        <w:tabs>
          <w:tab w:val="right" w:leader="dot" w:pos="9854"/>
        </w:tabs>
        <w:rPr>
          <w:noProof/>
          <w:kern w:val="2"/>
          <w:sz w:val="24"/>
          <w:szCs w:val="24"/>
          <w:lang w:eastAsia="en-AU"/>
          <w14:ligatures w14:val="standardContextual"/>
        </w:rPr>
      </w:pPr>
      <w:hyperlink w:anchor="_Toc228276375" w:history="1">
        <w:r w:rsidRPr="00C5173A">
          <w:rPr>
            <w:rStyle w:val="Hyperlink"/>
            <w:noProof/>
          </w:rPr>
          <w:t>Table 2 Summary of National Action Plan</w:t>
        </w:r>
        <w:r>
          <w:rPr>
            <w:noProof/>
            <w:webHidden/>
          </w:rPr>
          <w:tab/>
        </w:r>
        <w:r>
          <w:rPr>
            <w:noProof/>
            <w:webHidden/>
          </w:rPr>
          <w:fldChar w:fldCharType="begin"/>
        </w:r>
        <w:r>
          <w:rPr>
            <w:noProof/>
            <w:webHidden/>
          </w:rPr>
          <w:instrText xml:space="preserve"> PAGEREF _Toc228276375 \h </w:instrText>
        </w:r>
        <w:r>
          <w:rPr>
            <w:noProof/>
            <w:webHidden/>
          </w:rPr>
        </w:r>
        <w:r>
          <w:rPr>
            <w:noProof/>
            <w:webHidden/>
          </w:rPr>
          <w:fldChar w:fldCharType="separate"/>
        </w:r>
        <w:r>
          <w:rPr>
            <w:noProof/>
            <w:webHidden/>
          </w:rPr>
          <w:t>30</w:t>
        </w:r>
        <w:r>
          <w:rPr>
            <w:noProof/>
            <w:webHidden/>
          </w:rPr>
          <w:fldChar w:fldCharType="end"/>
        </w:r>
      </w:hyperlink>
    </w:p>
    <w:p w14:paraId="6CDD7FD1" w14:textId="085A16F2" w:rsidR="005F794B" w:rsidRPr="005F794B" w:rsidRDefault="006E1ECA" w:rsidP="005F794B">
      <w:pPr>
        <w:rPr>
          <w:highlight w:val="yellow"/>
          <w:lang w:val="x-none"/>
        </w:rPr>
      </w:pPr>
      <w:r>
        <w:fldChar w:fldCharType="end"/>
      </w:r>
    </w:p>
    <w:p w14:paraId="7DB0B558" w14:textId="77777777" w:rsidR="005912BE" w:rsidRPr="00C3007A" w:rsidRDefault="005912BE" w:rsidP="00C3007A">
      <w:pPr>
        <w:tabs>
          <w:tab w:val="center" w:pos="4932"/>
        </w:tabs>
        <w:sectPr w:rsidR="005912BE" w:rsidRPr="00C3007A" w:rsidSect="00BA24FB">
          <w:headerReference w:type="default" r:id="rId21"/>
          <w:footerReference w:type="default" r:id="rId22"/>
          <w:pgSz w:w="11906" w:h="16838" w:code="9"/>
          <w:pgMar w:top="1021" w:right="1021" w:bottom="1021" w:left="1021" w:header="340" w:footer="397" w:gutter="0"/>
          <w:cols w:space="708"/>
          <w:docGrid w:linePitch="360"/>
        </w:sectPr>
      </w:pPr>
    </w:p>
    <w:p w14:paraId="508CC4D7" w14:textId="646D4307" w:rsidR="00C17639" w:rsidRDefault="002D550C" w:rsidP="00C17639">
      <w:pPr>
        <w:pStyle w:val="Heading1"/>
      </w:pPr>
      <w:bookmarkStart w:id="0" w:name="_Toc228276340"/>
      <w:r>
        <w:lastRenderedPageBreak/>
        <w:t>Acknowledgment of country</w:t>
      </w:r>
      <w:bookmarkEnd w:id="0"/>
    </w:p>
    <w:p w14:paraId="5F8B512F" w14:textId="77777777" w:rsidR="00C17639" w:rsidRDefault="00C17639" w:rsidP="00C17639">
      <w:r>
        <w:t>We acknowledge First Nations people as the Traditional Owners and Custodians of Australia and the Torres Strait Islands. Their deep-rooted connection to the land and waterways is integral to the nation’s cultural heritage and the sustainable management of resources. Aboriginal and Torres Strait Islander peoples, as part of the world’s oldest living culture, have successfully managed the lands and resources across Australia for over 65,000 years. This enduring relationship with the land provides valuable insights for developing resilient and sustainable supply chains.</w:t>
      </w:r>
    </w:p>
    <w:p w14:paraId="3B52A934" w14:textId="77777777" w:rsidR="00582779" w:rsidRDefault="00C17639" w:rsidP="00C17639">
      <w:r>
        <w:t>The ancient trade routes, which followed song lines and ceremonial paths across Aboriginal and Torres Strait Islander lands, highlight the sophisticated systems of trade and communication established by First Nations people over tens of thousands of years. We honour the First Nations peoples of Australia and pay our respects to Elders past and present, acknowledging their contributions to the land and its stewardship, which continue to inspire sustainable practices within the national freight and supply chain framework.</w:t>
      </w:r>
    </w:p>
    <w:p w14:paraId="4B9D1DF9" w14:textId="1DD624E8" w:rsidR="00C17639" w:rsidRDefault="004B36AD" w:rsidP="00C17639">
      <w:pPr>
        <w:sectPr w:rsidR="00C17639" w:rsidSect="00701000">
          <w:headerReference w:type="default" r:id="rId23"/>
          <w:headerReference w:type="first" r:id="rId24"/>
          <w:pgSz w:w="11906" w:h="16838" w:code="9"/>
          <w:pgMar w:top="1021" w:right="1021" w:bottom="1021" w:left="1021" w:header="340" w:footer="397" w:gutter="0"/>
          <w:cols w:space="708"/>
          <w:docGrid w:linePitch="360"/>
        </w:sectPr>
      </w:pPr>
      <w:r>
        <w:rPr>
          <w:noProof/>
        </w:rPr>
        <w:drawing>
          <wp:inline distT="0" distB="0" distL="0" distR="0" wp14:anchorId="3560BD40" wp14:editId="41C84150">
            <wp:extent cx="6256800" cy="4172400"/>
            <wp:effectExtent l="0" t="0" r="0" b="0"/>
            <wp:docPr id="156322361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23615" name="Picture 2">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56800" cy="4172400"/>
                    </a:xfrm>
                    <a:prstGeom prst="rect">
                      <a:avLst/>
                    </a:prstGeom>
                    <a:noFill/>
                    <a:ln>
                      <a:noFill/>
                    </a:ln>
                  </pic:spPr>
                </pic:pic>
              </a:graphicData>
            </a:graphic>
          </wp:inline>
        </w:drawing>
      </w:r>
    </w:p>
    <w:p w14:paraId="67707C4D" w14:textId="0CF71B31" w:rsidR="00632CFB" w:rsidRDefault="00632CFB" w:rsidP="00632CFB">
      <w:pPr>
        <w:pStyle w:val="Heading1"/>
      </w:pPr>
      <w:bookmarkStart w:id="1" w:name="_Toc228276341"/>
      <w:r>
        <w:lastRenderedPageBreak/>
        <w:t xml:space="preserve">The 2026 fuel security </w:t>
      </w:r>
      <w:r w:rsidR="009E066F">
        <w:t>disruption</w:t>
      </w:r>
      <w:r>
        <w:t xml:space="preserve"> – an unprecedented challenge</w:t>
      </w:r>
      <w:bookmarkEnd w:id="1"/>
    </w:p>
    <w:p w14:paraId="615D8E9B" w14:textId="3202485E" w:rsidR="00632CFB" w:rsidRDefault="00632CFB" w:rsidP="00632CFB">
      <w:r>
        <w:t xml:space="preserve">In the first half of 2026, a conflict in the Middle East resulted in major disruptions to global supply chains, and </w:t>
      </w:r>
      <w:r w:rsidR="009E066F">
        <w:t>some</w:t>
      </w:r>
      <w:r>
        <w:t xml:space="preserve"> fuel </w:t>
      </w:r>
      <w:r w:rsidR="009E066F">
        <w:t>disruptions</w:t>
      </w:r>
      <w:r>
        <w:t xml:space="preserve"> in Australia. At the time of publishing this annual report, Australian governments’ priority is to alleviate the pressures caused by the fuel security crisis. Governments are working closely with industries and our international partners to diversify supplies, quickly address local shortages, and bring prices down. Governments recognise how critical this is for the freight and logistics sector, and how tough conditions are in the current climate for everyone working to keep goods moving across the country. </w:t>
      </w:r>
    </w:p>
    <w:p w14:paraId="0602FDB8" w14:textId="5D34BB14" w:rsidR="00632CFB" w:rsidRDefault="00632CFB" w:rsidP="00632CFB">
      <w:pPr>
        <w:rPr>
          <w:rFonts w:asciiTheme="majorHAnsi" w:eastAsiaTheme="majorEastAsia" w:hAnsiTheme="majorHAnsi" w:cstheme="majorBidi"/>
          <w:color w:val="06162E" w:themeColor="accent1" w:themeShade="BF"/>
          <w:sz w:val="32"/>
          <w:szCs w:val="32"/>
        </w:rPr>
      </w:pPr>
      <w:r>
        <w:t xml:space="preserve">This Annual Report – prepared prior to the crisis – remains a useful accountability mechanism under the National Freight and Supply Chain Strategy. The data and trends contained in this report remain essential for long term planning. Understanding our freight networks’ performance on decarbonisation, efficiency and safety will be fundamental to building a more resilient freight network and supply chain for the future. Governments thank all those in the freight and logistics sector for their efforts during this challenging period and remain committed to supporting the sector through both immediate response and longer-term strategy and investment. </w:t>
      </w:r>
      <w:r>
        <w:br w:type="page"/>
      </w:r>
    </w:p>
    <w:p w14:paraId="7F29DC90" w14:textId="64858E3C" w:rsidR="005F794B" w:rsidRPr="005F794B" w:rsidRDefault="006C4B6D" w:rsidP="00DE4362">
      <w:pPr>
        <w:pStyle w:val="Heading1"/>
        <w:spacing w:before="0"/>
      </w:pPr>
      <w:bookmarkStart w:id="2" w:name="_Toc228276342"/>
      <w:r>
        <w:lastRenderedPageBreak/>
        <w:t>Foreword</w:t>
      </w:r>
      <w:bookmarkEnd w:id="2"/>
    </w:p>
    <w:p w14:paraId="03FF7A3A" w14:textId="22BDC202" w:rsidR="005F794B" w:rsidRPr="005F794B" w:rsidRDefault="00D51B65" w:rsidP="005F794B">
      <w:pPr>
        <w:pStyle w:val="Introduction"/>
      </w:pPr>
      <w:r>
        <w:t>Freight transportation is the backbone of Australia’s way of life</w:t>
      </w:r>
      <w:r w:rsidR="005F794B" w:rsidRPr="005F794B">
        <w:t>.</w:t>
      </w:r>
    </w:p>
    <w:p w14:paraId="275E7C1A" w14:textId="75170585" w:rsidR="003E5D70" w:rsidRDefault="001C61FA" w:rsidP="003E5D70">
      <w:pPr>
        <w:rPr>
          <w:lang w:val="x-none"/>
        </w:rPr>
      </w:pPr>
      <w:bookmarkStart w:id="3" w:name="_Hlk159929407"/>
      <w:bookmarkStart w:id="4" w:name="_Hlk159929398"/>
      <w:r>
        <w:rPr>
          <w:lang w:val="x-none"/>
        </w:rPr>
        <w:t>W</w:t>
      </w:r>
      <w:r w:rsidR="003E5D70" w:rsidRPr="003E5D70">
        <w:rPr>
          <w:lang w:val="x-none"/>
        </w:rPr>
        <w:t>e are pleased to present the National Freight and Supply Chain Strategy Annual Report</w:t>
      </w:r>
      <w:r w:rsidR="003E5D70">
        <w:rPr>
          <w:lang w:val="x-none"/>
        </w:rPr>
        <w:t xml:space="preserve"> 2024-25</w:t>
      </w:r>
      <w:r w:rsidR="003E5D70" w:rsidRPr="003E5D70">
        <w:rPr>
          <w:lang w:val="x-none"/>
        </w:rPr>
        <w:t xml:space="preserve">. </w:t>
      </w:r>
      <w:r w:rsidR="003E5D70">
        <w:rPr>
          <w:lang w:val="x-none"/>
        </w:rPr>
        <w:t>The first since the Strategy’s refresh this year.</w:t>
      </w:r>
    </w:p>
    <w:p w14:paraId="3AE8C53B" w14:textId="33A0DE69" w:rsidR="003E5D70" w:rsidRPr="003E5D70" w:rsidRDefault="003E5D70" w:rsidP="003E5D70">
      <w:pPr>
        <w:rPr>
          <w:lang w:val="x-none"/>
        </w:rPr>
      </w:pPr>
      <w:r>
        <w:rPr>
          <w:lang w:val="x-none"/>
        </w:rPr>
        <w:t xml:space="preserve">The 2025-2029 Strategy was released outside the reporting period for this </w:t>
      </w:r>
      <w:r w:rsidR="00026657">
        <w:rPr>
          <w:lang w:val="x-none"/>
        </w:rPr>
        <w:t xml:space="preserve">2024-25 </w:t>
      </w:r>
      <w:r>
        <w:rPr>
          <w:lang w:val="x-none"/>
        </w:rPr>
        <w:t xml:space="preserve">report, however </w:t>
      </w:r>
      <w:r w:rsidR="00026657">
        <w:rPr>
          <w:lang w:val="x-none"/>
        </w:rPr>
        <w:t>officials</w:t>
      </w:r>
      <w:r>
        <w:rPr>
          <w:lang w:val="x-none"/>
        </w:rPr>
        <w:t xml:space="preserve"> </w:t>
      </w:r>
      <w:r w:rsidR="00E41D35">
        <w:rPr>
          <w:lang w:val="x-none"/>
        </w:rPr>
        <w:t xml:space="preserve">are </w:t>
      </w:r>
      <w:r>
        <w:rPr>
          <w:lang w:val="x-none"/>
        </w:rPr>
        <w:t>already progressing work on a number of actions.</w:t>
      </w:r>
      <w:r w:rsidRPr="003E5D70">
        <w:t xml:space="preserve"> </w:t>
      </w:r>
      <w:r>
        <w:t xml:space="preserve">This report is </w:t>
      </w:r>
      <w:r w:rsidRPr="003E5D70">
        <w:rPr>
          <w:lang w:val="x-none"/>
        </w:rPr>
        <w:t>built around the first year of reporting against the key performance measures</w:t>
      </w:r>
      <w:r>
        <w:rPr>
          <w:lang w:val="x-none"/>
        </w:rPr>
        <w:t xml:space="preserve">, setting the baseline for future reports. </w:t>
      </w:r>
    </w:p>
    <w:p w14:paraId="0EE32CB2" w14:textId="77777777" w:rsidR="003E5D70" w:rsidRPr="003E5D70" w:rsidRDefault="003E5D70" w:rsidP="003E5D70">
      <w:pPr>
        <w:rPr>
          <w:lang w:val="x-none"/>
        </w:rPr>
      </w:pPr>
      <w:r w:rsidRPr="003E5D70">
        <w:rPr>
          <w:lang w:val="x-none"/>
        </w:rPr>
        <w:t>The refreshed Strategy was developed through close collaboration between jurisdictions, industry partners, and stakeholders. This cooperative approach ensures that the Strategy remains practical, forward-looking, and aligned with national priorities. By working together, we have strengthened the foundations for a resilient, efficient, and sustainable freight network that supports economic growth and community wellbeing.</w:t>
      </w:r>
    </w:p>
    <w:p w14:paraId="3C366E59" w14:textId="3998E26A" w:rsidR="003E5D70" w:rsidRPr="003E5D70" w:rsidRDefault="00026657" w:rsidP="003E5D70">
      <w:pPr>
        <w:rPr>
          <w:lang w:val="x-none"/>
        </w:rPr>
      </w:pPr>
      <w:r>
        <w:rPr>
          <w:lang w:val="x-none"/>
        </w:rPr>
        <w:t>F</w:t>
      </w:r>
      <w:r w:rsidR="003E5D70" w:rsidRPr="003E5D70">
        <w:rPr>
          <w:lang w:val="x-none"/>
        </w:rPr>
        <w:t xml:space="preserve">reight and supply chains </w:t>
      </w:r>
      <w:r>
        <w:rPr>
          <w:lang w:val="x-none"/>
        </w:rPr>
        <w:t xml:space="preserve">play a critical role </w:t>
      </w:r>
      <w:r w:rsidR="003E5D70" w:rsidRPr="003E5D70">
        <w:rPr>
          <w:lang w:val="x-none"/>
        </w:rPr>
        <w:t xml:space="preserve">in connecting businesses, regions, and people. The refreshed Strategy provides a clear roadmap for coordinated action, enabling </w:t>
      </w:r>
      <w:r>
        <w:rPr>
          <w:lang w:val="x-none"/>
        </w:rPr>
        <w:t>governments and industry</w:t>
      </w:r>
      <w:r w:rsidR="003E5D70" w:rsidRPr="003E5D70">
        <w:rPr>
          <w:lang w:val="x-none"/>
        </w:rPr>
        <w:t xml:space="preserve"> to respond to emerging trends, harness innovation, and maintain Australia’s competitiveness in a rapidly changing global environment.</w:t>
      </w:r>
    </w:p>
    <w:p w14:paraId="67BCDDCA" w14:textId="4DE717E5" w:rsidR="00D2792F" w:rsidRDefault="003E5D70" w:rsidP="002B3569">
      <w:pPr>
        <w:rPr>
          <w:lang w:val="x-none"/>
        </w:rPr>
      </w:pPr>
      <w:r w:rsidRPr="003E5D70">
        <w:rPr>
          <w:lang w:val="x-none"/>
        </w:rPr>
        <w:t>We invite you to explore this report and join us in continuing to deliver on the shared vision for a world-class freight system</w:t>
      </w:r>
      <w:r>
        <w:rPr>
          <w:lang w:val="x-none"/>
        </w:rPr>
        <w:t>.</w:t>
      </w:r>
    </w:p>
    <w:p w14:paraId="6100DC7D" w14:textId="63BFA63C" w:rsidR="0024408C" w:rsidRDefault="00D2792F">
      <w:pPr>
        <w:rPr>
          <w:rStyle w:val="Strong"/>
        </w:rPr>
      </w:pPr>
      <w:r w:rsidRPr="00B379D9">
        <w:rPr>
          <w:rStyle w:val="Strong"/>
        </w:rPr>
        <w:t>Infrastructure and Transport Senior Officials' Committee</w:t>
      </w:r>
      <w:bookmarkStart w:id="5" w:name="_Toc228276343"/>
      <w:bookmarkEnd w:id="3"/>
      <w:bookmarkEnd w:id="4"/>
      <w:r w:rsidR="0024408C">
        <w:rPr>
          <w:rStyle w:val="Strong"/>
        </w:rPr>
        <w:br w:type="page"/>
      </w:r>
    </w:p>
    <w:p w14:paraId="17126970" w14:textId="713D8AC0" w:rsidR="00AD7703" w:rsidRPr="00AD7703" w:rsidRDefault="00AD62AC" w:rsidP="0024408C">
      <w:pPr>
        <w:pStyle w:val="Heading2"/>
      </w:pPr>
      <w:r>
        <w:lastRenderedPageBreak/>
        <w:t>National Freight and Supply Chain Strategy</w:t>
      </w:r>
      <w:bookmarkEnd w:id="5"/>
    </w:p>
    <w:p w14:paraId="76427303" w14:textId="309B7D3D" w:rsidR="000A0462" w:rsidRDefault="000A0462" w:rsidP="00B4580E">
      <w:pPr>
        <w:pStyle w:val="Introduction"/>
      </w:pPr>
      <w:r>
        <w:t>Australia’s economy is underpinned by efficient transportation of freight across vast distances and international borders. Our domestic supply chains are a critical enabler of Australia’s international trade and provide the link between our trade gateways (ports and airports) and the broader economy.</w:t>
      </w:r>
    </w:p>
    <w:p w14:paraId="76A6E478" w14:textId="446EC66F" w:rsidR="001C2C55" w:rsidRDefault="00604213" w:rsidP="009602E7">
      <w:r>
        <w:t xml:space="preserve">The original </w:t>
      </w:r>
      <w:r w:rsidRPr="001C2C55">
        <w:t>National Freight and Supply Chain Strategy (the Strategy)</w:t>
      </w:r>
      <w:r w:rsidR="001C2C55">
        <w:t xml:space="preserve"> </w:t>
      </w:r>
      <w:r w:rsidR="00E6380A">
        <w:t>was released in 2019 and</w:t>
      </w:r>
      <w:r w:rsidR="001C2C55">
        <w:t xml:space="preserve"> brought together governments and industry to</w:t>
      </w:r>
      <w:r w:rsidR="001C2C55" w:rsidRPr="001C2C55">
        <w:t xml:space="preserve"> improv</w:t>
      </w:r>
      <w:r w:rsidR="001C2C55">
        <w:t>e</w:t>
      </w:r>
      <w:r w:rsidR="001C2C55" w:rsidRPr="001C2C55">
        <w:t xml:space="preserve"> the efficiency, effectiveness and reliability of Australian supply chains</w:t>
      </w:r>
      <w:r w:rsidR="001C2C55">
        <w:t xml:space="preserve">. </w:t>
      </w:r>
      <w:r w:rsidR="003E4A5A">
        <w:t>In 2023-24, t</w:t>
      </w:r>
      <w:r w:rsidR="001C2C55">
        <w:t xml:space="preserve">he first 5-year review </w:t>
      </w:r>
      <w:r w:rsidR="005E4017">
        <w:t xml:space="preserve">acknowledged the strengths of the Strategy but identified </w:t>
      </w:r>
      <w:r w:rsidR="00BD19AF">
        <w:t xml:space="preserve">some </w:t>
      </w:r>
      <w:r w:rsidR="005E4017">
        <w:t xml:space="preserve">areas </w:t>
      </w:r>
      <w:r w:rsidR="00BD19AF">
        <w:t>for</w:t>
      </w:r>
      <w:r w:rsidR="005E4017">
        <w:t xml:space="preserve"> improvement</w:t>
      </w:r>
      <w:r w:rsidR="00BD19AF">
        <w:t>. National, state and local governments worked together with industry to deliver a new version of the Strategy</w:t>
      </w:r>
      <w:r w:rsidR="00E627AC">
        <w:t>, with a renewed focus on collaboration in areas of national interest.</w:t>
      </w:r>
    </w:p>
    <w:p w14:paraId="02384826" w14:textId="77777777" w:rsidR="0028346E" w:rsidRDefault="0028346E" w:rsidP="009602E7">
      <w:r>
        <w:rPr>
          <w:noProof/>
        </w:rPr>
        <w:drawing>
          <wp:inline distT="0" distB="0" distL="0" distR="0" wp14:anchorId="314E101B" wp14:editId="427EA480">
            <wp:extent cx="5686425" cy="3590925"/>
            <wp:effectExtent l="0" t="0" r="9525" b="9525"/>
            <wp:docPr id="7" name="Picture 7" descr="There are 6 goals under the Strategy: Decarbonising the freight and supply chain sector; Improved efficiency, productivity and international competitiveness; Safe, secure and resilient supply chains; A fit for purpose regulatory environment; A skilled, portable and adaptable workforce; An informed understanding and acceptance of freight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re are 6 goals under the Strategy: Decarbonising the freight and supply chain sector; Improved efficiency, productivity and international competitiveness; Safe, secure and resilient supply chains; A fit for purpose regulatory environment; A skilled, portable and adaptable workforce; An informed understanding and acceptance of freight operation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6425" cy="3590925"/>
                    </a:xfrm>
                    <a:prstGeom prst="rect">
                      <a:avLst/>
                    </a:prstGeom>
                    <a:noFill/>
                    <a:ln>
                      <a:noFill/>
                    </a:ln>
                  </pic:spPr>
                </pic:pic>
              </a:graphicData>
            </a:graphic>
          </wp:inline>
        </w:drawing>
      </w:r>
    </w:p>
    <w:p w14:paraId="7CF29FA7" w14:textId="720668D6" w:rsidR="001C2C55" w:rsidRDefault="001C2C55" w:rsidP="009602E7">
      <w:r>
        <w:t>The Strategy</w:t>
      </w:r>
      <w:r w:rsidR="00E6380A">
        <w:t xml:space="preserve"> was refreshed and </w:t>
      </w:r>
      <w:r>
        <w:t xml:space="preserve">launched </w:t>
      </w:r>
      <w:r w:rsidR="00E6380A">
        <w:t>i</w:t>
      </w:r>
      <w:r w:rsidRPr="001C2C55">
        <w:t>n August 2025</w:t>
      </w:r>
      <w:r w:rsidRPr="00686A8E">
        <w:t xml:space="preserve"> </w:t>
      </w:r>
      <w:r>
        <w:t>along with a new National Action Plan</w:t>
      </w:r>
      <w:r w:rsidR="00E6380A">
        <w:t xml:space="preserve">. It </w:t>
      </w:r>
      <w:r>
        <w:t>include</w:t>
      </w:r>
      <w:r w:rsidR="005B7D97">
        <w:t xml:space="preserve">s </w:t>
      </w:r>
      <w:r>
        <w:t xml:space="preserve">new </w:t>
      </w:r>
      <w:r w:rsidR="005B7D97">
        <w:t xml:space="preserve">and refined </w:t>
      </w:r>
      <w:r>
        <w:t>goals</w:t>
      </w:r>
      <w:r w:rsidR="005B7D97">
        <w:t xml:space="preserve"> </w:t>
      </w:r>
      <w:r w:rsidR="00BD19AF">
        <w:t>as well as new ways of working together</w:t>
      </w:r>
      <w:r w:rsidR="005B7D97">
        <w:t>.</w:t>
      </w:r>
      <w:r w:rsidR="00CF496E">
        <w:t xml:space="preserve"> </w:t>
      </w:r>
      <w:r w:rsidR="00BD19AF">
        <w:t xml:space="preserve">The 14 </w:t>
      </w:r>
      <w:r w:rsidR="00CF496E">
        <w:t xml:space="preserve">targeted </w:t>
      </w:r>
      <w:r w:rsidR="00BD19AF">
        <w:t xml:space="preserve">actions </w:t>
      </w:r>
      <w:r w:rsidR="00CF496E">
        <w:t>align to the</w:t>
      </w:r>
      <w:r w:rsidR="00CF496E" w:rsidRPr="00CF496E">
        <w:t xml:space="preserve"> National Priority Action Areas</w:t>
      </w:r>
      <w:r w:rsidR="00CF496E">
        <w:t xml:space="preserve"> </w:t>
      </w:r>
      <w:r w:rsidR="00CF496E" w:rsidRPr="00CF496E">
        <w:t>identified throug</w:t>
      </w:r>
      <w:r w:rsidR="009425E4">
        <w:t>h</w:t>
      </w:r>
      <w:r w:rsidR="00CF496E" w:rsidRPr="00CF496E">
        <w:t xml:space="preserve"> the refresh process (See Appendix A –National Action Plan Summary).</w:t>
      </w:r>
      <w:r w:rsidR="00CF496E">
        <w:t xml:space="preserve"> All governments are working together to deliver these actions.</w:t>
      </w:r>
    </w:p>
    <w:p w14:paraId="3B69D719" w14:textId="127D9411" w:rsidR="00CF496E" w:rsidRDefault="00CF496E" w:rsidP="009602E7">
      <w:r>
        <w:t>The actions are forward looking, focusing on the current and emerging key strategic issues facing industry. Th</w:t>
      </w:r>
      <w:r w:rsidR="004C3434">
        <w:t xml:space="preserve">eir </w:t>
      </w:r>
      <w:r>
        <w:t>impact</w:t>
      </w:r>
      <w:r w:rsidR="004C3434">
        <w:t xml:space="preserve"> will be felt</w:t>
      </w:r>
      <w:r>
        <w:t xml:space="preserve"> </w:t>
      </w:r>
      <w:r w:rsidR="004C3434">
        <w:t>i</w:t>
      </w:r>
      <w:r>
        <w:t xml:space="preserve">n the freight and supply chain system as a </w:t>
      </w:r>
      <w:r w:rsidR="00412F2B">
        <w:t>whole and</w:t>
      </w:r>
      <w:r>
        <w:t xml:space="preserve"> are not unique to a single mode.</w:t>
      </w:r>
    </w:p>
    <w:p w14:paraId="016255DE" w14:textId="22A5620A" w:rsidR="008F6D54" w:rsidRDefault="008F6D54" w:rsidP="009602E7">
      <w:bookmarkStart w:id="6" w:name="_Hlk210293130"/>
      <w:r>
        <w:t xml:space="preserve">This is the fourth annual progress report and covers progress made in the 2024-25 financial year. Since the Strategy’s release, annual reports have been made in 2019-20, 2020-21 and 2021-22. No reports were produced in 2023 and 2024 due to the 5-year review and </w:t>
      </w:r>
      <w:r w:rsidR="00BA1EBB">
        <w:t>refresh</w:t>
      </w:r>
      <w:r>
        <w:t xml:space="preserve"> of the Strategy</w:t>
      </w:r>
      <w:r w:rsidR="00BA1EBB">
        <w:t xml:space="preserve"> being undertaken during this period</w:t>
      </w:r>
      <w:bookmarkEnd w:id="6"/>
      <w:r>
        <w:t>.</w:t>
      </w:r>
    </w:p>
    <w:p w14:paraId="567BB192" w14:textId="345093A3" w:rsidR="00BA1EBB" w:rsidRDefault="00CF496E" w:rsidP="0096208A">
      <w:r>
        <w:t>The Strategy includes</w:t>
      </w:r>
      <w:r w:rsidR="002F7CC6">
        <w:t xml:space="preserve"> an initial set of </w:t>
      </w:r>
      <w:r>
        <w:t>key performance measures to provide a picture of the freight and supply chain sector</w:t>
      </w:r>
      <w:r w:rsidR="008F6D54">
        <w:t>,</w:t>
      </w:r>
      <w:r w:rsidR="002B04FC">
        <w:t xml:space="preserve"> </w:t>
      </w:r>
      <w:r w:rsidR="002B04FC" w:rsidRPr="002B04FC">
        <w:t xml:space="preserve">but </w:t>
      </w:r>
      <w:r w:rsidR="00BA1EBB">
        <w:t>further work will be</w:t>
      </w:r>
      <w:r w:rsidR="00463D12">
        <w:t>gin next year</w:t>
      </w:r>
      <w:r w:rsidR="00BA1EBB">
        <w:t xml:space="preserve"> to </w:t>
      </w:r>
      <w:r w:rsidR="002B04FC" w:rsidRPr="002B04FC">
        <w:t>expand and refine the list</w:t>
      </w:r>
      <w:r>
        <w:t xml:space="preserve">. </w:t>
      </w:r>
    </w:p>
    <w:p w14:paraId="4D783839" w14:textId="22FBCE0A" w:rsidR="002F7CC6" w:rsidRPr="00E85E29" w:rsidRDefault="002F7CC6" w:rsidP="0096208A">
      <w:pPr>
        <w:rPr>
          <w:bCs/>
        </w:rPr>
      </w:pPr>
      <w:bookmarkStart w:id="7" w:name="_Hlk210293353"/>
      <w:bookmarkStart w:id="8" w:name="_Hlk214955314"/>
      <w:r w:rsidRPr="00E85E29">
        <w:rPr>
          <w:bCs/>
        </w:rPr>
        <w:t xml:space="preserve">As the release of the </w:t>
      </w:r>
      <w:r w:rsidR="00940AF5" w:rsidRPr="00E85E29">
        <w:rPr>
          <w:bCs/>
        </w:rPr>
        <w:t xml:space="preserve">refreshed </w:t>
      </w:r>
      <w:r w:rsidRPr="00E85E29">
        <w:rPr>
          <w:bCs/>
        </w:rPr>
        <w:t xml:space="preserve">Strategy in August 2025 is outside the reporting period, this annual report is built around the first year of reporting against the </w:t>
      </w:r>
      <w:r w:rsidR="001C3B25">
        <w:rPr>
          <w:bCs/>
        </w:rPr>
        <w:t xml:space="preserve">initial </w:t>
      </w:r>
      <w:r w:rsidRPr="00E85E29">
        <w:rPr>
          <w:bCs/>
        </w:rPr>
        <w:t>key performance measures</w:t>
      </w:r>
      <w:bookmarkStart w:id="9" w:name="_Hlk215570621"/>
      <w:r w:rsidR="007A78A1">
        <w:rPr>
          <w:bCs/>
        </w:rPr>
        <w:t>.</w:t>
      </w:r>
      <w:r w:rsidR="007A78A1" w:rsidRPr="007A78A1">
        <w:t xml:space="preserve"> </w:t>
      </w:r>
      <w:bookmarkStart w:id="10" w:name="_Hlk223003344"/>
      <w:r w:rsidR="007A78A1">
        <w:t xml:space="preserve">Several actions </w:t>
      </w:r>
      <w:r w:rsidR="007A78A1" w:rsidRPr="00115333">
        <w:t xml:space="preserve">have </w:t>
      </w:r>
      <w:r w:rsidR="007A78A1" w:rsidRPr="00115333">
        <w:lastRenderedPageBreak/>
        <w:t>commenced analysis, scoping or consultation with jurisdictions</w:t>
      </w:r>
      <w:r w:rsidR="004E71D1">
        <w:t xml:space="preserve">, </w:t>
      </w:r>
      <w:proofErr w:type="gramStart"/>
      <w:r w:rsidR="004E71D1">
        <w:t>however</w:t>
      </w:r>
      <w:proofErr w:type="gramEnd"/>
      <w:r w:rsidR="004E71D1">
        <w:t xml:space="preserve"> there has been insufficient time to complete any actions since the Strategy was released</w:t>
      </w:r>
      <w:r w:rsidR="007177E4">
        <w:t xml:space="preserve">. </w:t>
      </w:r>
      <w:r w:rsidR="002E6DD0" w:rsidRPr="00E85E29">
        <w:rPr>
          <w:bCs/>
        </w:rPr>
        <w:t xml:space="preserve">As such, progress is not contained in this year’s annual </w:t>
      </w:r>
      <w:r w:rsidR="00CB17DF" w:rsidRPr="00E85E29">
        <w:rPr>
          <w:bCs/>
        </w:rPr>
        <w:t>report but</w:t>
      </w:r>
      <w:r w:rsidR="002E6DD0" w:rsidRPr="00E85E29">
        <w:rPr>
          <w:bCs/>
        </w:rPr>
        <w:t xml:space="preserve"> will </w:t>
      </w:r>
      <w:r w:rsidR="004E71D1">
        <w:rPr>
          <w:bCs/>
        </w:rPr>
        <w:t>be</w:t>
      </w:r>
      <w:r w:rsidR="002E6DD0" w:rsidRPr="00E85E29">
        <w:rPr>
          <w:bCs/>
        </w:rPr>
        <w:t xml:space="preserve"> in future years</w:t>
      </w:r>
      <w:bookmarkEnd w:id="9"/>
      <w:r w:rsidR="002E6DD0" w:rsidRPr="00E85E29">
        <w:rPr>
          <w:bCs/>
        </w:rPr>
        <w:t>. Description</w:t>
      </w:r>
      <w:r w:rsidR="004E71D1">
        <w:rPr>
          <w:bCs/>
        </w:rPr>
        <w:t>s</w:t>
      </w:r>
      <w:r w:rsidR="002E6DD0" w:rsidRPr="00E85E29">
        <w:rPr>
          <w:bCs/>
        </w:rPr>
        <w:t xml:space="preserve"> of the actions </w:t>
      </w:r>
      <w:r w:rsidR="004E71D1">
        <w:rPr>
          <w:bCs/>
        </w:rPr>
        <w:t>are</w:t>
      </w:r>
      <w:r w:rsidR="002E6DD0" w:rsidRPr="00E85E29">
        <w:rPr>
          <w:bCs/>
        </w:rPr>
        <w:t xml:space="preserve"> contained </w:t>
      </w:r>
      <w:r w:rsidR="0096208A" w:rsidRPr="00E85E29">
        <w:rPr>
          <w:bCs/>
        </w:rPr>
        <w:t>at the end of this report</w:t>
      </w:r>
      <w:bookmarkEnd w:id="7"/>
      <w:r w:rsidR="00F6350C">
        <w:rPr>
          <w:bCs/>
        </w:rPr>
        <w:t xml:space="preserve"> in the </w:t>
      </w:r>
      <w:r w:rsidR="004E71D1">
        <w:rPr>
          <w:bCs/>
        </w:rPr>
        <w:t>‘L</w:t>
      </w:r>
      <w:r w:rsidR="00F6350C">
        <w:rPr>
          <w:bCs/>
        </w:rPr>
        <w:t xml:space="preserve">ooking </w:t>
      </w:r>
      <w:r w:rsidR="004E71D1">
        <w:rPr>
          <w:bCs/>
        </w:rPr>
        <w:t>A</w:t>
      </w:r>
      <w:r w:rsidR="00F6350C">
        <w:rPr>
          <w:bCs/>
        </w:rPr>
        <w:t>head</w:t>
      </w:r>
      <w:r w:rsidR="004E71D1">
        <w:rPr>
          <w:bCs/>
        </w:rPr>
        <w:t>’</w:t>
      </w:r>
      <w:r w:rsidR="00F6350C">
        <w:rPr>
          <w:bCs/>
        </w:rPr>
        <w:t xml:space="preserve"> section</w:t>
      </w:r>
      <w:r w:rsidR="002E6DD0" w:rsidRPr="00E85E29">
        <w:rPr>
          <w:bCs/>
        </w:rPr>
        <w:t>.</w:t>
      </w:r>
      <w:r w:rsidR="00F6350C">
        <w:rPr>
          <w:bCs/>
        </w:rPr>
        <w:t xml:space="preserve"> </w:t>
      </w:r>
    </w:p>
    <w:bookmarkEnd w:id="8"/>
    <w:bookmarkEnd w:id="10"/>
    <w:p w14:paraId="16372084" w14:textId="641AD0E9" w:rsidR="002F7CC6" w:rsidRDefault="00E4045C" w:rsidP="002F7CC6">
      <w:pPr>
        <w:sectPr w:rsidR="002F7CC6" w:rsidSect="00F867B1">
          <w:pgSz w:w="11906" w:h="16838" w:code="9"/>
          <w:pgMar w:top="1021" w:right="1021" w:bottom="1021" w:left="1021" w:header="340" w:footer="397" w:gutter="0"/>
          <w:cols w:space="708"/>
          <w:docGrid w:linePitch="360"/>
        </w:sectPr>
      </w:pPr>
      <w:r>
        <w:rPr>
          <w:noProof/>
        </w:rPr>
        <w:drawing>
          <wp:inline distT="0" distB="0" distL="0" distR="0" wp14:anchorId="21D6C797" wp14:editId="248AE1B1">
            <wp:extent cx="6256655" cy="4171950"/>
            <wp:effectExtent l="0" t="0" r="0" b="0"/>
            <wp:docPr id="72937118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71186" name="Picture 5">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56655" cy="4171950"/>
                    </a:xfrm>
                    <a:prstGeom prst="rect">
                      <a:avLst/>
                    </a:prstGeom>
                    <a:noFill/>
                    <a:ln>
                      <a:noFill/>
                    </a:ln>
                  </pic:spPr>
                </pic:pic>
              </a:graphicData>
            </a:graphic>
          </wp:inline>
        </w:drawing>
      </w:r>
      <w:r>
        <w:rPr>
          <w:noProof/>
        </w:rPr>
        <w:t xml:space="preserve"> </w:t>
      </w:r>
    </w:p>
    <w:p w14:paraId="77BD2EED" w14:textId="2B908B85" w:rsidR="006A652F" w:rsidRPr="00CA2D44" w:rsidRDefault="006A652F" w:rsidP="00AD62AC">
      <w:pPr>
        <w:pStyle w:val="Heading1"/>
      </w:pPr>
      <w:bookmarkStart w:id="11" w:name="_Toc228276344"/>
      <w:r w:rsidRPr="00CA2D44">
        <w:lastRenderedPageBreak/>
        <w:t xml:space="preserve">Strategy in </w:t>
      </w:r>
      <w:r w:rsidR="001639C2">
        <w:t xml:space="preserve">the national </w:t>
      </w:r>
      <w:r w:rsidRPr="00CA2D44">
        <w:t>context</w:t>
      </w:r>
      <w:bookmarkEnd w:id="11"/>
    </w:p>
    <w:p w14:paraId="75EED7B3" w14:textId="33082954" w:rsidR="00C37A30" w:rsidRDefault="00604213" w:rsidP="00491AC7">
      <w:r>
        <w:t>The Strategy</w:t>
      </w:r>
      <w:r w:rsidR="00E6380A">
        <w:t>’s</w:t>
      </w:r>
      <w:r>
        <w:t xml:space="preserve"> development </w:t>
      </w:r>
      <w:r w:rsidR="00E6380A">
        <w:t>and ongoing implementation is</w:t>
      </w:r>
      <w:r>
        <w:t xml:space="preserve"> a collaborative endeavour across all levels of government. Each jurisdiction has align</w:t>
      </w:r>
      <w:r w:rsidR="002F7D36">
        <w:t>ed</w:t>
      </w:r>
      <w:r>
        <w:t xml:space="preserve"> their policies and programs to the national focus set out in the Strategy. </w:t>
      </w:r>
      <w:r w:rsidR="002F7D36">
        <w:t>Each jurisdiction’s contribution</w:t>
      </w:r>
      <w:r>
        <w:t xml:space="preserve"> is set out below. </w:t>
      </w:r>
    </w:p>
    <w:p w14:paraId="0D39A895" w14:textId="6EA4EB9E" w:rsidR="000D06B9" w:rsidRDefault="00C37A30" w:rsidP="000D06B9">
      <w:pPr>
        <w:spacing w:before="80" w:after="0"/>
      </w:pPr>
      <w:r w:rsidRPr="00C37A30">
        <w:rPr>
          <w:noProof/>
        </w:rPr>
        <w:drawing>
          <wp:anchor distT="0" distB="0" distL="114300" distR="114300" simplePos="0" relativeHeight="251658245" behindDoc="0" locked="0" layoutInCell="1" allowOverlap="1" wp14:anchorId="3C02A1AA" wp14:editId="5DDBB9FF">
            <wp:simplePos x="0" y="0"/>
            <wp:positionH relativeFrom="column">
              <wp:posOffset>-635</wp:posOffset>
            </wp:positionH>
            <wp:positionV relativeFrom="paragraph">
              <wp:posOffset>-2540</wp:posOffset>
            </wp:positionV>
            <wp:extent cx="817200" cy="820800"/>
            <wp:effectExtent l="0" t="0" r="2540" b="0"/>
            <wp:wrapSquare wrapText="bothSides"/>
            <wp:docPr id="277" name="Picture Placeholder 276">
              <a:extLst xmlns:a="http://schemas.openxmlformats.org/drawingml/2006/main">
                <a:ext uri="{FF2B5EF4-FFF2-40B4-BE49-F238E27FC236}">
                  <a16:creationId xmlns:a16="http://schemas.microsoft.com/office/drawing/2014/main" id="{89B664FA-28F8-EB07-EB2D-F7663FD17751}"/>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7" name="Picture Placeholder 276">
                      <a:extLst>
                        <a:ext uri="{FF2B5EF4-FFF2-40B4-BE49-F238E27FC236}">
                          <a16:creationId xmlns:a16="http://schemas.microsoft.com/office/drawing/2014/main" id="{89B664FA-28F8-EB07-EB2D-F7663FD17751}"/>
                        </a:ext>
                        <a:ext uri="{C183D7F6-B498-43B3-948B-1728B52AA6E4}">
                          <adec:decorative xmlns:adec="http://schemas.microsoft.com/office/drawing/2017/decorative" val="1"/>
                        </a:ext>
                      </a:extLst>
                    </pic:cNvPr>
                    <pic:cNvPicPr>
                      <a:picLocks noGrp="1" noChangeAspect="1"/>
                    </pic:cNvPicPr>
                  </pic:nvPicPr>
                  <pic:blipFill>
                    <a:blip r:embed="rId28">
                      <a:extLst>
                        <a:ext uri="{28A0092B-C50C-407E-A947-70E740481C1C}">
                          <a14:useLocalDpi xmlns:a14="http://schemas.microsoft.com/office/drawing/2010/main" val="0"/>
                        </a:ext>
                      </a:extLst>
                    </a:blip>
                    <a:srcRect l="146" r="146"/>
                    <a:stretch>
                      <a:fillRect/>
                    </a:stretch>
                  </pic:blipFill>
                  <pic:spPr>
                    <a:xfrm>
                      <a:off x="0" y="0"/>
                      <a:ext cx="817200" cy="820800"/>
                    </a:xfrm>
                    <a:prstGeom prst="rect">
                      <a:avLst/>
                    </a:prstGeom>
                  </pic:spPr>
                </pic:pic>
              </a:graphicData>
            </a:graphic>
            <wp14:sizeRelH relativeFrom="page">
              <wp14:pctWidth>0</wp14:pctWidth>
            </wp14:sizeRelH>
            <wp14:sizeRelV relativeFrom="page">
              <wp14:pctHeight>0</wp14:pctHeight>
            </wp14:sizeRelV>
          </wp:anchor>
        </w:drawing>
      </w:r>
      <w:bookmarkStart w:id="12" w:name="_Toc228276345"/>
      <w:r w:rsidR="000D06B9" w:rsidRPr="000D06B9">
        <w:rPr>
          <w:rStyle w:val="Heading2Char"/>
        </w:rPr>
        <w:t>Delivering the NSW Freight Policy Reform Program</w:t>
      </w:r>
      <w:bookmarkEnd w:id="12"/>
    </w:p>
    <w:p w14:paraId="0DE6CF60" w14:textId="087958FD" w:rsidR="000D06B9" w:rsidRDefault="000D06B9" w:rsidP="000D06B9">
      <w:r>
        <w:t xml:space="preserve">The NSW Government has undertaken the NSW Freight Policy Reform which has delivered a comprehensive strategic reform agenda to optimise the freight system in NSW with an independent advisory panel comprising of Dr Kerry Schott AO, Mr Lucio Di Bartolomeo and Dr Hermione Parsons.  </w:t>
      </w:r>
    </w:p>
    <w:p w14:paraId="4E6D0BAC" w14:textId="57BA0A35" w:rsidR="000D06B9" w:rsidRDefault="000D06B9" w:rsidP="000D06B9">
      <w:r>
        <w:t>This reform program was a system-wide policy review of the freight system, including road, rail and ports. Industry wide issues and critical facilities that form part of the supply chain such as intermodals, workforce and industrial lands were considered, recognising they play a critical role in the movement of goods across an integrated freight system.</w:t>
      </w:r>
    </w:p>
    <w:p w14:paraId="486599A1" w14:textId="34B77912" w:rsidR="000D06B9" w:rsidRDefault="000D06B9" w:rsidP="000D06B9">
      <w:r>
        <w:t xml:space="preserve">The NSW Government developed guiding policy principles in relation to:   </w:t>
      </w:r>
    </w:p>
    <w:p w14:paraId="7CC38EA6" w14:textId="429F5D0C" w:rsidR="000D06B9" w:rsidRDefault="000D06B9" w:rsidP="000D06B9">
      <w:pPr>
        <w:pStyle w:val="ListParagraph"/>
        <w:numPr>
          <w:ilvl w:val="0"/>
          <w:numId w:val="37"/>
        </w:numPr>
      </w:pPr>
      <w:r>
        <w:t>The role of the NSW Government, Australian Government and industry in making a step change in freight transport</w:t>
      </w:r>
    </w:p>
    <w:p w14:paraId="75447C59" w14:textId="728A8305" w:rsidR="000D06B9" w:rsidRDefault="000D06B9" w:rsidP="000D06B9">
      <w:pPr>
        <w:pStyle w:val="ListParagraph"/>
        <w:numPr>
          <w:ilvl w:val="0"/>
          <w:numId w:val="37"/>
        </w:numPr>
      </w:pPr>
      <w:r>
        <w:t>The major ports in NSW</w:t>
      </w:r>
    </w:p>
    <w:p w14:paraId="5F6360E2" w14:textId="038CE215" w:rsidR="000D06B9" w:rsidRDefault="000D06B9" w:rsidP="000D06B9">
      <w:pPr>
        <w:pStyle w:val="ListParagraph"/>
        <w:numPr>
          <w:ilvl w:val="0"/>
          <w:numId w:val="37"/>
        </w:numPr>
      </w:pPr>
      <w:r>
        <w:t>The road and rail network  </w:t>
      </w:r>
    </w:p>
    <w:p w14:paraId="0288B65E" w14:textId="5212A299" w:rsidR="000D06B9" w:rsidRDefault="000D06B9" w:rsidP="000D06B9">
      <w:pPr>
        <w:pStyle w:val="ListParagraph"/>
        <w:numPr>
          <w:ilvl w:val="0"/>
          <w:numId w:val="37"/>
        </w:numPr>
      </w:pPr>
      <w:r>
        <w:t>The supporting metropolitan and regional intermodal terminals and other enabling transport infrastructure</w:t>
      </w:r>
    </w:p>
    <w:p w14:paraId="51C8D5B7" w14:textId="1A513DE2" w:rsidR="000D06B9" w:rsidRDefault="000D06B9" w:rsidP="000D06B9">
      <w:pPr>
        <w:pStyle w:val="ListParagraph"/>
        <w:numPr>
          <w:ilvl w:val="0"/>
          <w:numId w:val="37"/>
        </w:numPr>
      </w:pPr>
      <w:r>
        <w:t>The consideration of freight in the identification and use of industrial land</w:t>
      </w:r>
    </w:p>
    <w:p w14:paraId="20BBB5B6" w14:textId="6EFEB11F" w:rsidR="000D06B9" w:rsidRDefault="000D06B9" w:rsidP="000D06B9">
      <w:pPr>
        <w:pStyle w:val="ListParagraph"/>
        <w:numPr>
          <w:ilvl w:val="0"/>
          <w:numId w:val="37"/>
        </w:numPr>
      </w:pPr>
      <w:r>
        <w:t>Embedding freight considerations into transport planning, prioritisation and investment decisions.</w:t>
      </w:r>
    </w:p>
    <w:p w14:paraId="2A2A3DD9" w14:textId="4282219E" w:rsidR="00BC355C" w:rsidRDefault="000D06B9" w:rsidP="000D06B9">
      <w:r>
        <w:t xml:space="preserve">The guiding principles have been used to provide a framework of policy positions to optimise safety, productivity and sustainability; define the role of the NSW Government, Australian Government and industry; and develop short, medium and long-term actions. </w:t>
      </w:r>
    </w:p>
    <w:p w14:paraId="0F38432B" w14:textId="595DE31A" w:rsidR="00C37A30" w:rsidRDefault="005D6B8F" w:rsidP="000D06B9">
      <w:r w:rsidRPr="00C32597">
        <w:t>There is strong alignment between the National Freight and Supply Chain Strategy and the NSW Freight Policy Reform</w:t>
      </w:r>
      <w:r>
        <w:t xml:space="preserve">. </w:t>
      </w:r>
      <w:r w:rsidR="000D06B9">
        <w:t xml:space="preserve">The NSW Government has commenced </w:t>
      </w:r>
      <w:r>
        <w:t>implementation of</w:t>
      </w:r>
      <w:r w:rsidR="000D06B9">
        <w:t xml:space="preserve"> the Freight Policy Reform Program to deliver improved freight outcomes for the people of NSW.</w:t>
      </w:r>
    </w:p>
    <w:p w14:paraId="11FC8BCB" w14:textId="6AB49726" w:rsidR="006C4B6D" w:rsidRDefault="006C4B6D" w:rsidP="006C4B6D">
      <w:pPr>
        <w:pStyle w:val="Heading2"/>
      </w:pPr>
      <w:bookmarkStart w:id="13" w:name="_Toc228276346"/>
      <w:r w:rsidRPr="00C37A30">
        <w:rPr>
          <w:noProof/>
        </w:rPr>
        <w:drawing>
          <wp:anchor distT="0" distB="0" distL="114300" distR="114300" simplePos="0" relativeHeight="251658246" behindDoc="0" locked="0" layoutInCell="1" allowOverlap="1" wp14:anchorId="089CC8D4" wp14:editId="517B64DF">
            <wp:simplePos x="0" y="0"/>
            <wp:positionH relativeFrom="margin">
              <wp:posOffset>17780</wp:posOffset>
            </wp:positionH>
            <wp:positionV relativeFrom="paragraph">
              <wp:posOffset>29845</wp:posOffset>
            </wp:positionV>
            <wp:extent cx="816610" cy="820420"/>
            <wp:effectExtent l="0" t="0" r="2540" b="0"/>
            <wp:wrapSquare wrapText="bothSides"/>
            <wp:docPr id="267" name="Picture Placeholder 266">
              <a:extLst xmlns:a="http://schemas.openxmlformats.org/drawingml/2006/main">
                <a:ext uri="{FF2B5EF4-FFF2-40B4-BE49-F238E27FC236}">
                  <a16:creationId xmlns:a16="http://schemas.microsoft.com/office/drawing/2014/main" id="{0BCFDF70-DD51-1E37-991B-38E1FBF14827}"/>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7" name="Picture Placeholder 266">
                      <a:extLst>
                        <a:ext uri="{FF2B5EF4-FFF2-40B4-BE49-F238E27FC236}">
                          <a16:creationId xmlns:a16="http://schemas.microsoft.com/office/drawing/2014/main" id="{0BCFDF70-DD51-1E37-991B-38E1FBF14827}"/>
                        </a:ext>
                        <a:ext uri="{C183D7F6-B498-43B3-948B-1728B52AA6E4}">
                          <adec:decorative xmlns:adec="http://schemas.microsoft.com/office/drawing/2017/decorative" val="1"/>
                        </a:ext>
                      </a:extLst>
                    </pic:cNvPr>
                    <pic:cNvPicPr>
                      <a:picLocks noGrp="1" noChangeAspect="1"/>
                    </pic:cNvPicPr>
                  </pic:nvPicPr>
                  <pic:blipFill>
                    <a:blip r:embed="rId29">
                      <a:extLst>
                        <a:ext uri="{28A0092B-C50C-407E-A947-70E740481C1C}">
                          <a14:useLocalDpi xmlns:a14="http://schemas.microsoft.com/office/drawing/2010/main" val="0"/>
                        </a:ext>
                      </a:extLst>
                    </a:blip>
                    <a:srcRect l="146" r="146"/>
                    <a:stretch>
                      <a:fillRect/>
                    </a:stretch>
                  </pic:blipFill>
                  <pic:spPr>
                    <a:xfrm>
                      <a:off x="0" y="0"/>
                      <a:ext cx="816610" cy="820420"/>
                    </a:xfrm>
                    <a:prstGeom prst="rect">
                      <a:avLst/>
                    </a:prstGeom>
                  </pic:spPr>
                </pic:pic>
              </a:graphicData>
            </a:graphic>
          </wp:anchor>
        </w:drawing>
      </w:r>
      <w:r>
        <w:t>Victoria Delivers</w:t>
      </w:r>
      <w:bookmarkEnd w:id="13"/>
    </w:p>
    <w:p w14:paraId="13D8FE32" w14:textId="4CCB6B62" w:rsidR="006C4B6D" w:rsidRDefault="006C4B6D" w:rsidP="006C4B6D">
      <w:r>
        <w:t xml:space="preserve">The Victorian Freight Plan 2025-30: Victoria Delivers was released on 6 August 2025. It is the Victorian Government's plan to meet the challenge of higher freight volumes as the state’s population continues to grow and demand for freight continues to increase. The </w:t>
      </w:r>
      <w:r w:rsidR="00FA04FA">
        <w:t xml:space="preserve">plan’s </w:t>
      </w:r>
      <w:r>
        <w:t xml:space="preserve">vision is to protect and strengthen Victoria's competitive advantage, </w:t>
      </w:r>
      <w:r w:rsidR="00FA04FA">
        <w:t xml:space="preserve">and </w:t>
      </w:r>
      <w:r>
        <w:t>to enhance Victoria's liveability and economic prosperity.</w:t>
      </w:r>
    </w:p>
    <w:p w14:paraId="3A3F506B" w14:textId="32E37315" w:rsidR="006C4B6D" w:rsidRDefault="006C4B6D" w:rsidP="006C4B6D">
      <w:r>
        <w:t>Resilient, productive and sustainable freight connections are essential to the success of Victoria’s businesses and communities. The Victorian freight industry employs around 240,000 people and generates more growth and jobs from freight than any other state. Victoria’s freight task is expected to increase from around 440 million tonnes in 2020-21 to 908 million tonnes by 2050-51. That growth is being accelerated by an increased momentum for decarbonisation</w:t>
      </w:r>
      <w:r w:rsidR="00E8164A">
        <w:t>,</w:t>
      </w:r>
      <w:r>
        <w:t xml:space="preserve"> and opportunities to boost supply chain efficiency, safety and connectivity through technological innovation and improved access to data.</w:t>
      </w:r>
    </w:p>
    <w:p w14:paraId="642BCE76" w14:textId="5AC2B65B" w:rsidR="006C4B6D" w:rsidRDefault="006C4B6D" w:rsidP="006C4B6D">
      <w:r>
        <w:t>Victoria Delivers builds on the success of the last Victorian Freight Plan, Delivering the Goods, released in 2018 and is the roadmap for our freight system. It outlines the high-level objectives, strategic priority areas and the actions that will be taken to deliver on the objectives over the next five years to support thriving freight and supply chains in Victoria.</w:t>
      </w:r>
    </w:p>
    <w:p w14:paraId="382FB1D0" w14:textId="39254DDB" w:rsidR="00C37A30" w:rsidRDefault="006C4B6D" w:rsidP="006C4B6D">
      <w:r>
        <w:lastRenderedPageBreak/>
        <w:t>As a long-term blueprint, it will be used to guide policy development; strengthen protection, planning and delivery practices; embed safety; support innovative technology and decarbonisation pathways; create certainty for investment; ensure fit for purpose infrastructure; improve data availability and research; and foster a skilled and diverse workforce. There is strong alignment between Victoria Del</w:t>
      </w:r>
      <w:r w:rsidR="00890525">
        <w:t>i</w:t>
      </w:r>
      <w:r>
        <w:t xml:space="preserve">vers and the National Freight and Supply Chain Strategy. Victoria Delivers can be found at: </w:t>
      </w:r>
      <w:hyperlink r:id="rId30" w:history="1">
        <w:r w:rsidRPr="000E3889">
          <w:rPr>
            <w:rStyle w:val="Hyperlink"/>
          </w:rPr>
          <w:t>https://www.vic.gov.au/freight-victoria</w:t>
        </w:r>
      </w:hyperlink>
      <w:r>
        <w:t>.</w:t>
      </w:r>
    </w:p>
    <w:p w14:paraId="6A225B59" w14:textId="2D1F1090" w:rsidR="0027718F" w:rsidRDefault="00281867" w:rsidP="0027718F">
      <w:pPr>
        <w:pStyle w:val="Heading2"/>
      </w:pPr>
      <w:bookmarkStart w:id="14" w:name="_Toc228276347"/>
      <w:r w:rsidRPr="00281867">
        <w:rPr>
          <w:noProof/>
        </w:rPr>
        <w:drawing>
          <wp:anchor distT="0" distB="0" distL="114300" distR="114300" simplePos="0" relativeHeight="251658247" behindDoc="0" locked="0" layoutInCell="1" allowOverlap="1" wp14:anchorId="7E7ADD32" wp14:editId="05D994CF">
            <wp:simplePos x="0" y="0"/>
            <wp:positionH relativeFrom="column">
              <wp:posOffset>15240</wp:posOffset>
            </wp:positionH>
            <wp:positionV relativeFrom="paragraph">
              <wp:posOffset>89535</wp:posOffset>
            </wp:positionV>
            <wp:extent cx="820800" cy="820800"/>
            <wp:effectExtent l="0" t="0" r="0" b="0"/>
            <wp:wrapSquare wrapText="bothSides"/>
            <wp:docPr id="273" name="Picture Placeholder 272">
              <a:extLst xmlns:a="http://schemas.openxmlformats.org/drawingml/2006/main">
                <a:ext uri="{FF2B5EF4-FFF2-40B4-BE49-F238E27FC236}">
                  <a16:creationId xmlns:a16="http://schemas.microsoft.com/office/drawing/2014/main" id="{73F3E1CF-EC87-36BF-5445-A6E63A700E10}"/>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3" name="Picture Placeholder 272">
                      <a:extLst>
                        <a:ext uri="{FF2B5EF4-FFF2-40B4-BE49-F238E27FC236}">
                          <a16:creationId xmlns:a16="http://schemas.microsoft.com/office/drawing/2014/main" id="{73F3E1CF-EC87-36BF-5445-A6E63A700E10}"/>
                        </a:ext>
                        <a:ext uri="{C183D7F6-B498-43B3-948B-1728B52AA6E4}">
                          <adec:decorative xmlns:adec="http://schemas.microsoft.com/office/drawing/2017/decorative" val="1"/>
                        </a:ext>
                      </a:extLst>
                    </pic:cNvPr>
                    <pic:cNvPicPr>
                      <a:picLocks noGrp="1" noChangeAspect="1"/>
                    </pic:cNvPicPr>
                  </pic:nvPicPr>
                  <pic:blipFill>
                    <a:blip r:embed="rId31">
                      <a:extLst>
                        <a:ext uri="{28A0092B-C50C-407E-A947-70E740481C1C}">
                          <a14:useLocalDpi xmlns:a14="http://schemas.microsoft.com/office/drawing/2010/main" val="0"/>
                        </a:ext>
                      </a:extLst>
                    </a:blip>
                    <a:srcRect/>
                    <a:stretch>
                      <a:fillRect/>
                    </a:stretch>
                  </pic:blipFill>
                  <pic:spPr>
                    <a:xfrm>
                      <a:off x="0" y="0"/>
                      <a:ext cx="820800" cy="820800"/>
                    </a:xfrm>
                    <a:prstGeom prst="rect">
                      <a:avLst/>
                    </a:prstGeom>
                  </pic:spPr>
                </pic:pic>
              </a:graphicData>
            </a:graphic>
            <wp14:sizeRelH relativeFrom="page">
              <wp14:pctWidth>0</wp14:pctWidth>
            </wp14:sizeRelH>
            <wp14:sizeRelV relativeFrom="page">
              <wp14:pctHeight>0</wp14:pctHeight>
            </wp14:sizeRelV>
          </wp:anchor>
        </w:drawing>
      </w:r>
      <w:r w:rsidR="0027718F">
        <w:t>Queensland Freight Delivery Plan</w:t>
      </w:r>
      <w:bookmarkEnd w:id="14"/>
      <w:r w:rsidR="0027718F">
        <w:t xml:space="preserve"> </w:t>
      </w:r>
    </w:p>
    <w:p w14:paraId="72C49444" w14:textId="77777777" w:rsidR="0027718F" w:rsidRDefault="0027718F" w:rsidP="0027718F">
      <w:r>
        <w:t xml:space="preserve">In 2025, the Queensland Government commenced the development of a new Queensland Freight Delivery Plan. The plan will prioritise freight system innovation and improvements, in response to population growth and to help drive regional economic growth and productivity.  A key focus of the plan will be enhancing the state’s capability in regional and long-distance freight haulage, and the cost-effective movement of commodities and goods to and from our ports. </w:t>
      </w:r>
    </w:p>
    <w:p w14:paraId="0E386FF2" w14:textId="3EE3FA18" w:rsidR="0027718F" w:rsidRDefault="0027718F" w:rsidP="0027718F">
      <w:r>
        <w:t xml:space="preserve">Feedback from industry, government and regional stakeholders is informing the development of the plan, which will be progressed for government consideration in </w:t>
      </w:r>
      <w:r w:rsidR="00A012D5">
        <w:t>mid-</w:t>
      </w:r>
      <w:r>
        <w:t xml:space="preserve">2026.  </w:t>
      </w:r>
    </w:p>
    <w:p w14:paraId="64A0FDB5" w14:textId="22AAE4E4" w:rsidR="0027718F" w:rsidRDefault="0027718F" w:rsidP="0027718F">
      <w:r>
        <w:t xml:space="preserve">The new Queensland Freight Delivery Plan will align with the updated priorities of the National Freight and Supply Chain Strategy, including efforts to improve Australia’s freight system safety, productivity, resilience, decarbonisation and underlying evidence base through better application of data. </w:t>
      </w:r>
    </w:p>
    <w:p w14:paraId="6895BF50" w14:textId="57798BF6" w:rsidR="00491AC7" w:rsidRDefault="0027718F" w:rsidP="0027718F">
      <w:r>
        <w:t>The Queensland Government continues to support the actions being delivered through the National Action Plan in collaboration with the Australian Government and jurisdictional representatives.</w:t>
      </w:r>
    </w:p>
    <w:p w14:paraId="7C1FB11B" w14:textId="77777777" w:rsidR="005D6B8F" w:rsidRDefault="005D6B8F" w:rsidP="005D6B8F">
      <w:pPr>
        <w:pStyle w:val="Heading2"/>
      </w:pPr>
      <w:bookmarkStart w:id="15" w:name="_Toc228276348"/>
      <w:r w:rsidRPr="001A5C64">
        <w:rPr>
          <w:noProof/>
        </w:rPr>
        <w:drawing>
          <wp:anchor distT="0" distB="0" distL="114300" distR="114300" simplePos="0" relativeHeight="251658251" behindDoc="0" locked="0" layoutInCell="1" allowOverlap="1" wp14:anchorId="6179EADF" wp14:editId="1D345131">
            <wp:simplePos x="0" y="0"/>
            <wp:positionH relativeFrom="column">
              <wp:posOffset>-635</wp:posOffset>
            </wp:positionH>
            <wp:positionV relativeFrom="paragraph">
              <wp:posOffset>0</wp:posOffset>
            </wp:positionV>
            <wp:extent cx="817200" cy="817200"/>
            <wp:effectExtent l="0" t="0" r="2540" b="2540"/>
            <wp:wrapSquare wrapText="bothSides"/>
            <wp:docPr id="269" name="Picture Placeholder 268">
              <a:extLst xmlns:a="http://schemas.openxmlformats.org/drawingml/2006/main">
                <a:ext uri="{FF2B5EF4-FFF2-40B4-BE49-F238E27FC236}">
                  <a16:creationId xmlns:a16="http://schemas.microsoft.com/office/drawing/2014/main" id="{17488FC7-BA76-1DBC-A047-F0CE48B70948}"/>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9" name="Picture Placeholder 268">
                      <a:extLst>
                        <a:ext uri="{FF2B5EF4-FFF2-40B4-BE49-F238E27FC236}">
                          <a16:creationId xmlns:a16="http://schemas.microsoft.com/office/drawing/2014/main" id="{17488FC7-BA76-1DBC-A047-F0CE48B70948}"/>
                        </a:ext>
                        <a:ext uri="{C183D7F6-B498-43B3-948B-1728B52AA6E4}">
                          <adec:decorative xmlns:adec="http://schemas.microsoft.com/office/drawing/2017/decorative" val="1"/>
                        </a:ext>
                      </a:extLst>
                    </pic:cNvPr>
                    <pic:cNvPicPr>
                      <a:picLocks noGrp="1" noChangeAspect="1"/>
                    </pic:cNvPicPr>
                  </pic:nvPicPr>
                  <pic:blipFill>
                    <a:blip r:embed="rId32">
                      <a:extLst>
                        <a:ext uri="{28A0092B-C50C-407E-A947-70E740481C1C}">
                          <a14:useLocalDpi xmlns:a14="http://schemas.microsoft.com/office/drawing/2010/main" val="0"/>
                        </a:ext>
                      </a:extLst>
                    </a:blip>
                    <a:srcRect/>
                    <a:stretch>
                      <a:fillRect/>
                    </a:stretch>
                  </pic:blipFill>
                  <pic:spPr>
                    <a:xfrm>
                      <a:off x="0" y="0"/>
                      <a:ext cx="817200" cy="817200"/>
                    </a:xfrm>
                    <a:prstGeom prst="rect">
                      <a:avLst/>
                    </a:prstGeom>
                  </pic:spPr>
                </pic:pic>
              </a:graphicData>
            </a:graphic>
            <wp14:sizeRelH relativeFrom="margin">
              <wp14:pctWidth>0</wp14:pctWidth>
            </wp14:sizeRelH>
            <wp14:sizeRelV relativeFrom="margin">
              <wp14:pctHeight>0</wp14:pctHeight>
            </wp14:sizeRelV>
          </wp:anchor>
        </w:drawing>
      </w:r>
      <w:r>
        <w:t>Tasmania</w:t>
      </w:r>
      <w:bookmarkEnd w:id="15"/>
    </w:p>
    <w:p w14:paraId="66DA56D6" w14:textId="77777777" w:rsidR="005D6B8F" w:rsidRDefault="005D6B8F" w:rsidP="005D6B8F">
      <w:pPr>
        <w:jc w:val="both"/>
      </w:pPr>
      <w:r>
        <w:t xml:space="preserve">The National Freight and Supply Chain Strategy </w:t>
      </w:r>
      <w:proofErr w:type="gramStart"/>
      <w:r>
        <w:t>aligns</w:t>
      </w:r>
      <w:proofErr w:type="gramEnd"/>
      <w:r>
        <w:t xml:space="preserve"> closely with Tasmania’s expectations for efficient, reliable, productive, sustainable, and safe freight movements and supply chains in Tasmania.</w:t>
      </w:r>
    </w:p>
    <w:p w14:paraId="61423DA9" w14:textId="77777777" w:rsidR="005D6B8F" w:rsidRDefault="005D6B8F" w:rsidP="005D6B8F">
      <w:pPr>
        <w:jc w:val="both"/>
      </w:pPr>
      <w:r>
        <w:t xml:space="preserve">Tasmania’s freight network remains strong. In 2024-25, 14.3 million tonnes of freight transited through Tasmania’s ports, and </w:t>
      </w:r>
      <w:proofErr w:type="spellStart"/>
      <w:r>
        <w:t>TasRail</w:t>
      </w:r>
      <w:proofErr w:type="spellEnd"/>
      <w:r>
        <w:t xml:space="preserve"> hauled just over 498 million net tonne kilometres of freight.</w:t>
      </w:r>
    </w:p>
    <w:p w14:paraId="45446824" w14:textId="77777777" w:rsidR="005D6B8F" w:rsidRDefault="005D6B8F" w:rsidP="005D6B8F">
      <w:pPr>
        <w:jc w:val="both"/>
      </w:pPr>
      <w:r>
        <w:t>The Tasmanian Government is investing heavily in Tasmania’s freight network. The new Bridgewater Bridge was officially opened in June 2025, the Tasmanian Freight Rail Revitalisation Program continues to provide critical investment in Tasmania’s rail network, and development at Tasmania’s four strategic ports is ongoing.</w:t>
      </w:r>
    </w:p>
    <w:p w14:paraId="6C5C0E8F" w14:textId="77777777" w:rsidR="005D6B8F" w:rsidRDefault="005D6B8F" w:rsidP="005D6B8F">
      <w:pPr>
        <w:jc w:val="both"/>
      </w:pPr>
      <w:r>
        <w:t>Together with significant investments in road, rail and port infrastructure, the Tasmanian Government is investing in the safety and wellbeing of freight and supply chain workers including through the Heavy Vehicle Driver Rest Area Strategy, and through supporting industry workforce development and physical and mental health programs to attract and retain workers in the freight and logistics sectors.</w:t>
      </w:r>
    </w:p>
    <w:p w14:paraId="22A769DB" w14:textId="35FDEF08" w:rsidR="005D6B8F" w:rsidRDefault="005D6B8F" w:rsidP="005D6B8F">
      <w:pPr>
        <w:jc w:val="both"/>
      </w:pPr>
      <w:r>
        <w:t>In 2024, the Tasmanian Government released the Transport Emissions Reduction and Resilience Plan 2024-29 to support our target of net-zero emissions by 2030 and the National Freight and Supply Chain Strategy’s goal of decarbonising the freight and supply chain sector.</w:t>
      </w:r>
    </w:p>
    <w:p w14:paraId="0B1E23A5" w14:textId="22BE7965" w:rsidR="005D6B8F" w:rsidRDefault="005D6B8F">
      <w:pPr>
        <w:rPr>
          <w:rFonts w:asciiTheme="majorHAnsi" w:eastAsiaTheme="majorEastAsia" w:hAnsiTheme="majorHAnsi" w:cstheme="majorBidi"/>
          <w:color w:val="404040" w:themeColor="text1" w:themeTint="BF"/>
          <w:sz w:val="28"/>
          <w:szCs w:val="28"/>
        </w:rPr>
      </w:pPr>
      <w:r>
        <w:t>Tasmania’s freight system underpins business and economic growth in the state. Effective and efficient transport networks and supply chains are a key enabler of realising the outcomes of the Tasmanian Government’s investment across key industry sectors.</w:t>
      </w:r>
      <w:r>
        <w:br w:type="page"/>
      </w:r>
    </w:p>
    <w:p w14:paraId="3C7A515B" w14:textId="63A38AB6" w:rsidR="00281867" w:rsidRDefault="00281867" w:rsidP="00281867">
      <w:pPr>
        <w:pStyle w:val="Heading2"/>
      </w:pPr>
      <w:bookmarkStart w:id="16" w:name="_Toc228276349"/>
      <w:r w:rsidRPr="00281867">
        <w:rPr>
          <w:noProof/>
        </w:rPr>
        <w:lastRenderedPageBreak/>
        <w:drawing>
          <wp:anchor distT="0" distB="0" distL="114300" distR="114300" simplePos="0" relativeHeight="251658248" behindDoc="0" locked="0" layoutInCell="1" allowOverlap="1" wp14:anchorId="76B7454B" wp14:editId="072E7BDB">
            <wp:simplePos x="0" y="0"/>
            <wp:positionH relativeFrom="column">
              <wp:posOffset>-635</wp:posOffset>
            </wp:positionH>
            <wp:positionV relativeFrom="paragraph">
              <wp:posOffset>69215</wp:posOffset>
            </wp:positionV>
            <wp:extent cx="817200" cy="820800"/>
            <wp:effectExtent l="0" t="0" r="2540" b="0"/>
            <wp:wrapSquare wrapText="bothSides"/>
            <wp:docPr id="265" name="Picture Placeholder 264">
              <a:extLst xmlns:a="http://schemas.openxmlformats.org/drawingml/2006/main">
                <a:ext uri="{FF2B5EF4-FFF2-40B4-BE49-F238E27FC236}">
                  <a16:creationId xmlns:a16="http://schemas.microsoft.com/office/drawing/2014/main" id="{EFD82A4B-1E33-9809-7744-B1872320AA00}"/>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5" name="Picture Placeholder 264">
                      <a:extLst>
                        <a:ext uri="{FF2B5EF4-FFF2-40B4-BE49-F238E27FC236}">
                          <a16:creationId xmlns:a16="http://schemas.microsoft.com/office/drawing/2014/main" id="{EFD82A4B-1E33-9809-7744-B1872320AA00}"/>
                        </a:ext>
                        <a:ext uri="{C183D7F6-B498-43B3-948B-1728B52AA6E4}">
                          <adec:decorative xmlns:adec="http://schemas.microsoft.com/office/drawing/2017/decorative" val="1"/>
                        </a:ext>
                      </a:extLst>
                    </pic:cNvPr>
                    <pic:cNvPicPr>
                      <a:picLocks noGrp="1" noChangeAspect="1"/>
                    </pic:cNvPicPr>
                  </pic:nvPicPr>
                  <pic:blipFill>
                    <a:blip r:embed="rId33">
                      <a:extLst>
                        <a:ext uri="{28A0092B-C50C-407E-A947-70E740481C1C}">
                          <a14:useLocalDpi xmlns:a14="http://schemas.microsoft.com/office/drawing/2010/main" val="0"/>
                        </a:ext>
                      </a:extLst>
                    </a:blip>
                    <a:srcRect l="146" r="146"/>
                    <a:stretch>
                      <a:fillRect/>
                    </a:stretch>
                  </pic:blipFill>
                  <pic:spPr>
                    <a:xfrm>
                      <a:off x="0" y="0"/>
                      <a:ext cx="817200" cy="820800"/>
                    </a:xfrm>
                    <a:prstGeom prst="rect">
                      <a:avLst/>
                    </a:prstGeom>
                  </pic:spPr>
                </pic:pic>
              </a:graphicData>
            </a:graphic>
            <wp14:sizeRelH relativeFrom="page">
              <wp14:pctWidth>0</wp14:pctWidth>
            </wp14:sizeRelH>
            <wp14:sizeRelV relativeFrom="page">
              <wp14:pctHeight>0</wp14:pctHeight>
            </wp14:sizeRelV>
          </wp:anchor>
        </w:drawing>
      </w:r>
      <w:r>
        <w:t>Western Australia</w:t>
      </w:r>
      <w:bookmarkEnd w:id="16"/>
    </w:p>
    <w:p w14:paraId="463FEBF8" w14:textId="0B9295B8" w:rsidR="00281867" w:rsidRDefault="00281867" w:rsidP="00CF69B0">
      <w:pPr>
        <w:rPr>
          <w:sz w:val="24"/>
        </w:rPr>
      </w:pPr>
      <w:r>
        <w:t xml:space="preserve">Western Australia is actively aligning its freight and supply chain strategies with the National Freight and Supply Chain Strategy (NFSCS) through focused investments and policy initiatives designed to improve efficiency, decarbonisation, safety, and resilience across the State’s freight network. </w:t>
      </w:r>
      <w:r w:rsidR="00CC7E2D" w:rsidRPr="00316B4F">
        <w:t>The Western Australian Government is currently developing a Regional Freight Strategy, accompanied by targeted Regional Action Plans</w:t>
      </w:r>
      <w:r w:rsidR="00CC7E2D">
        <w:t xml:space="preserve">. The Strategy is intended to </w:t>
      </w:r>
      <w:r>
        <w:t>outline region-specific priorities to address freight challenges and opportunities, with a strong emphasis on network efficiency, safer freight movement, and building resilience in line with the NFSCS.</w:t>
      </w:r>
    </w:p>
    <w:p w14:paraId="1D4C74EB" w14:textId="77777777" w:rsidR="00281867" w:rsidRDefault="00281867" w:rsidP="00CF69B0">
      <w:r>
        <w:t xml:space="preserve">Significant upgrades to ports and regional road networks are underway, enhancing freight capacity, efficiency, and safety. Improvements to secondary roads and the construction of bypasses are helping divert heavy vehicles from regional towns, increasing safety and reducing congestion. First point of entry planning and approvals, and capacity enhancements at regional ports are supporting trade resilience and efficiency. </w:t>
      </w:r>
    </w:p>
    <w:p w14:paraId="192E28ED" w14:textId="1C35666A" w:rsidR="00281867" w:rsidRDefault="00281867" w:rsidP="00CF69B0">
      <w:r>
        <w:t>Through the Agricultural Supply Chain Improvements program, investments are boosting rail capacity, allowing for heavier trains and increased throughput, with five out of 11 rail siding upgrades completed and the remainder anticipated by 2026. The WA Government is also pursuing the strategic objective of regaining control of the freight rail network to further encourage rail freight uptake and bolster regional road safety.</w:t>
      </w:r>
    </w:p>
    <w:p w14:paraId="1AE4BF80" w14:textId="2F5DC88A" w:rsidR="00281867" w:rsidRDefault="00281867" w:rsidP="00CF69B0">
      <w:r>
        <w:t xml:space="preserve">Efforts are ongoing to develop a transition plan for battery-electric heavy vehicles and supporting charging infrastructure, alongside investigations into the capability of WA’s ports and roads to transport renewable energy equipment. </w:t>
      </w:r>
    </w:p>
    <w:p w14:paraId="4CE482EC" w14:textId="2CDB96B7" w:rsidR="00A63331" w:rsidRDefault="00281867" w:rsidP="00CF69B0">
      <w:r>
        <w:t>Together, these initiatives demonstrate WA’s commitment to continuous improvement, industry collaboration, and innovative solutions to meet emerging freight sector challenges.</w:t>
      </w:r>
    </w:p>
    <w:p w14:paraId="6C448F4D" w14:textId="61E22D80" w:rsidR="001B26CE" w:rsidRDefault="001B26CE" w:rsidP="001B26CE">
      <w:pPr>
        <w:pStyle w:val="Heading2"/>
      </w:pPr>
      <w:bookmarkStart w:id="17" w:name="_Toc228276350"/>
      <w:r w:rsidRPr="001B26CE">
        <w:rPr>
          <w:noProof/>
        </w:rPr>
        <w:drawing>
          <wp:anchor distT="0" distB="0" distL="114300" distR="114300" simplePos="0" relativeHeight="251658255" behindDoc="0" locked="0" layoutInCell="1" allowOverlap="1" wp14:anchorId="50FDA108" wp14:editId="5EF46C0E">
            <wp:simplePos x="0" y="0"/>
            <wp:positionH relativeFrom="column">
              <wp:posOffset>-635</wp:posOffset>
            </wp:positionH>
            <wp:positionV relativeFrom="paragraph">
              <wp:posOffset>2540</wp:posOffset>
            </wp:positionV>
            <wp:extent cx="817200" cy="817200"/>
            <wp:effectExtent l="0" t="0" r="2540" b="2540"/>
            <wp:wrapSquare wrapText="bothSides"/>
            <wp:docPr id="279" name="Picture Placeholder 278">
              <a:extLst xmlns:a="http://schemas.openxmlformats.org/drawingml/2006/main">
                <a:ext uri="{FF2B5EF4-FFF2-40B4-BE49-F238E27FC236}">
                  <a16:creationId xmlns:a16="http://schemas.microsoft.com/office/drawing/2014/main" id="{F3C4A793-FA1E-6435-9F52-421C75AA059D}"/>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9" name="Picture Placeholder 278">
                      <a:extLst>
                        <a:ext uri="{FF2B5EF4-FFF2-40B4-BE49-F238E27FC236}">
                          <a16:creationId xmlns:a16="http://schemas.microsoft.com/office/drawing/2014/main" id="{F3C4A793-FA1E-6435-9F52-421C75AA059D}"/>
                        </a:ext>
                        <a:ext uri="{C183D7F6-B498-43B3-948B-1728B52AA6E4}">
                          <adec:decorative xmlns:adec="http://schemas.microsoft.com/office/drawing/2017/decorative" val="1"/>
                        </a:ext>
                      </a:extLst>
                    </pic:cNvPr>
                    <pic:cNvPicPr>
                      <a:picLocks noGrp="1" noChangeAspect="1"/>
                    </pic:cNvPicPr>
                  </pic:nvPicPr>
                  <pic:blipFill>
                    <a:blip r:embed="rId34">
                      <a:extLst>
                        <a:ext uri="{28A0092B-C50C-407E-A947-70E740481C1C}">
                          <a14:useLocalDpi xmlns:a14="http://schemas.microsoft.com/office/drawing/2010/main" val="0"/>
                        </a:ext>
                      </a:extLst>
                    </a:blip>
                    <a:srcRect l="146" r="146"/>
                    <a:stretch>
                      <a:fillRect/>
                    </a:stretch>
                  </pic:blipFill>
                  <pic:spPr>
                    <a:xfrm>
                      <a:off x="0" y="0"/>
                      <a:ext cx="817200" cy="817200"/>
                    </a:xfrm>
                    <a:prstGeom prst="rect">
                      <a:avLst/>
                    </a:prstGeom>
                  </pic:spPr>
                </pic:pic>
              </a:graphicData>
            </a:graphic>
          </wp:anchor>
        </w:drawing>
      </w:r>
      <w:r>
        <w:t>Australian Capital Territory (ACT)</w:t>
      </w:r>
      <w:bookmarkEnd w:id="17"/>
    </w:p>
    <w:p w14:paraId="3DF2F496" w14:textId="7B6F3A6B" w:rsidR="001B26CE" w:rsidRDefault="001B26CE" w:rsidP="001B26CE">
      <w:r>
        <w:t>The ACT Government supports the refreshed National Freight and Supply Chain Strategy and its agenda for a collaborative approach to deliver actions by governments and industry, including on the transition to net zero. The bulk of freight in the ACT is handled by the private sector, but the ACT Government ensures the supporting infrastructure, such as roads and land availability, is as reliable, efficient and as strategically located as possible. Nearly all freight (by volume) into and out of the ACT is road based, with most of the freight task originating from New South Wales, with Victoria second. ACT is focusing on enhancing regional connectivity through rail between Canberra and Sydney, road freight routes for trade connections to inland and coast regions, and air routes that link Canberra locally, nationally and to the world.</w:t>
      </w:r>
    </w:p>
    <w:p w14:paraId="091AFB95" w14:textId="1C2A1BBC" w:rsidR="001B26CE" w:rsidRDefault="001B26CE" w:rsidP="001B26CE">
      <w:r>
        <w:t>ACT Transport Strategy 2020 and the ACT Freight Strategy 2016 set out a vision to deliver an efficient, safe and sustainable freight network and services for a growing ACT and regional economy while protecting urban amenity and freight access and reducing the emission intensity of the freight transport industry. The ACT Government has committed to develop a refreshed Planning Strategy which combines the Transport Strategy into one new integrated strategy. The ACT Government is also developing a new ACT Climate Change Strategy for 2026–35. The strategy will set a clear direction for reducing emissions, preparing for climate impacts, and supporting a fair and inclusive transition to a net zero, climate-resilient city by 2045. Work to develop these new strategies will consider how the ACT Government can continue to support an efficient, sustainable and safe freight network and collaborate across government and industry to support zero emissions freight options. The ACT Government is also actively engaged with the Australian Government’s Productivity Commission in reviewing the local impacts of proposed heavy vehicle productivity reform on the ACT.</w:t>
      </w:r>
    </w:p>
    <w:p w14:paraId="2BE20CC7" w14:textId="49531B33" w:rsidR="001A5C64" w:rsidRPr="00BA4A53" w:rsidRDefault="001A5C64" w:rsidP="00A63331">
      <w:r>
        <w:br w:type="page"/>
      </w:r>
    </w:p>
    <w:p w14:paraId="29B4D91B" w14:textId="77777777" w:rsidR="001200B7" w:rsidRDefault="001200B7" w:rsidP="001200B7">
      <w:pPr>
        <w:pStyle w:val="Heading2"/>
      </w:pPr>
      <w:bookmarkStart w:id="18" w:name="_Toc228276351"/>
      <w:r w:rsidRPr="00A63331">
        <w:rPr>
          <w:noProof/>
        </w:rPr>
        <w:lastRenderedPageBreak/>
        <w:drawing>
          <wp:anchor distT="0" distB="0" distL="114300" distR="114300" simplePos="0" relativeHeight="251658253" behindDoc="0" locked="0" layoutInCell="1" allowOverlap="1" wp14:anchorId="71B46FD7" wp14:editId="32337475">
            <wp:simplePos x="0" y="0"/>
            <wp:positionH relativeFrom="column">
              <wp:posOffset>-1905</wp:posOffset>
            </wp:positionH>
            <wp:positionV relativeFrom="paragraph">
              <wp:posOffset>58420</wp:posOffset>
            </wp:positionV>
            <wp:extent cx="820420" cy="820420"/>
            <wp:effectExtent l="0" t="0" r="0" b="0"/>
            <wp:wrapSquare wrapText="bothSides"/>
            <wp:docPr id="271" name="Picture Placeholder 270" descr="map outline of South Australia.">
              <a:extLst xmlns:a="http://schemas.openxmlformats.org/drawingml/2006/main">
                <a:ext uri="{FF2B5EF4-FFF2-40B4-BE49-F238E27FC236}">
                  <a16:creationId xmlns:a16="http://schemas.microsoft.com/office/drawing/2014/main" id="{92E2641A-6E31-A0CB-6847-3E730636D5B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1" name="Picture Placeholder 270" descr="map outline of South Australia.">
                      <a:extLst>
                        <a:ext uri="{FF2B5EF4-FFF2-40B4-BE49-F238E27FC236}">
                          <a16:creationId xmlns:a16="http://schemas.microsoft.com/office/drawing/2014/main" id="{92E2641A-6E31-A0CB-6847-3E730636D5BD}"/>
                        </a:ext>
                      </a:extLst>
                    </pic:cNvPr>
                    <pic:cNvPicPr>
                      <a:picLocks noGrp="1" noChangeAspect="1"/>
                    </pic:cNvPicPr>
                  </pic:nvPicPr>
                  <pic:blipFill rotWithShape="1">
                    <a:blip r:embed="rId35">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South Australia</w:t>
      </w:r>
      <w:bookmarkEnd w:id="18"/>
    </w:p>
    <w:p w14:paraId="19F9B448" w14:textId="4D939E57" w:rsidR="001200B7" w:rsidRDefault="001200B7" w:rsidP="001200B7">
      <w:r>
        <w:t>In June 2024, the South Australian Government released the Freight and Supply Chain Strategy (the Strategy).  The Strategy has been developed in strong collaboration with an 18-person committee that represented all facets of the sector – Road, Rail, Sea, Air, Regulators, peak industry bodies and Unions. The Strategy has been co-designed with industry and key stakeholders so that it reflects and addresses the issues and opportunities experienced on the ground.</w:t>
      </w:r>
    </w:p>
    <w:p w14:paraId="1B85EEF9" w14:textId="77777777" w:rsidR="001200B7" w:rsidRDefault="001200B7" w:rsidP="001200B7">
      <w:r>
        <w:t>The Strategy:</w:t>
      </w:r>
    </w:p>
    <w:p w14:paraId="7C2D7E80" w14:textId="332E6159" w:rsidR="001200B7" w:rsidRDefault="001200B7" w:rsidP="001200B7">
      <w:pPr>
        <w:pStyle w:val="ListParagraph"/>
        <w:numPr>
          <w:ilvl w:val="0"/>
          <w:numId w:val="39"/>
        </w:numPr>
      </w:pPr>
      <w:r>
        <w:t>provides a vision for a commercial freight and supply chain network that is safe, productive, and sustainable for the State</w:t>
      </w:r>
    </w:p>
    <w:p w14:paraId="785AEF9B" w14:textId="155962D5" w:rsidR="001200B7" w:rsidRDefault="001200B7" w:rsidP="001200B7">
      <w:pPr>
        <w:pStyle w:val="ListParagraph"/>
        <w:numPr>
          <w:ilvl w:val="0"/>
          <w:numId w:val="39"/>
        </w:numPr>
      </w:pPr>
      <w:r>
        <w:t>sets out the outcomes that are key to the future success of the sector in supporting the South Australian economy</w:t>
      </w:r>
    </w:p>
    <w:p w14:paraId="53A6F7EE" w14:textId="21315481" w:rsidR="001200B7" w:rsidRDefault="001200B7" w:rsidP="001200B7">
      <w:pPr>
        <w:pStyle w:val="ListParagraph"/>
        <w:numPr>
          <w:ilvl w:val="0"/>
          <w:numId w:val="39"/>
        </w:numPr>
      </w:pPr>
      <w:r>
        <w:t>provides a suite of responses and strategic actions that will guide policy, planning and investment over the coming decades</w:t>
      </w:r>
    </w:p>
    <w:p w14:paraId="47825195" w14:textId="77777777" w:rsidR="001200B7" w:rsidRDefault="001200B7" w:rsidP="001200B7">
      <w:r>
        <w:t>A total of 22 strategic actions will in turn drive future initiatives and investment, and include:</w:t>
      </w:r>
    </w:p>
    <w:p w14:paraId="6D809F16" w14:textId="7C83AB81" w:rsidR="001200B7" w:rsidRDefault="001200B7" w:rsidP="001200B7">
      <w:pPr>
        <w:pStyle w:val="ListParagraph"/>
        <w:numPr>
          <w:ilvl w:val="0"/>
          <w:numId w:val="40"/>
        </w:numPr>
      </w:pPr>
      <w:r>
        <w:t>improving infrastructure and access to increase supply chain productivity</w:t>
      </w:r>
    </w:p>
    <w:p w14:paraId="7A6406A6" w14:textId="6257817A" w:rsidR="001200B7" w:rsidRDefault="001200B7" w:rsidP="001200B7">
      <w:pPr>
        <w:pStyle w:val="ListParagraph"/>
        <w:numPr>
          <w:ilvl w:val="0"/>
          <w:numId w:val="40"/>
        </w:numPr>
      </w:pPr>
      <w:r>
        <w:t>planning for supply chain infrastructure to minimise the risk of disruption</w:t>
      </w:r>
    </w:p>
    <w:p w14:paraId="6A6011A7" w14:textId="520F0AD9" w:rsidR="001200B7" w:rsidRDefault="001200B7" w:rsidP="001200B7">
      <w:pPr>
        <w:pStyle w:val="ListParagraph"/>
        <w:numPr>
          <w:ilvl w:val="0"/>
          <w:numId w:val="40"/>
        </w:numPr>
      </w:pPr>
      <w:r>
        <w:t>working with the industry to understand current and emerging technology and innovation developments and supporting their use where suitable</w:t>
      </w:r>
    </w:p>
    <w:p w14:paraId="02921D8C" w14:textId="26200565" w:rsidR="001200B7" w:rsidRDefault="001200B7" w:rsidP="001200B7">
      <w:pPr>
        <w:pStyle w:val="ListParagraph"/>
        <w:numPr>
          <w:ilvl w:val="0"/>
          <w:numId w:val="40"/>
        </w:numPr>
      </w:pPr>
      <w:r>
        <w:t>providing direction and strategic support to promote sector-wide decarbonisation that aligns with net zero commitments</w:t>
      </w:r>
    </w:p>
    <w:p w14:paraId="3A842A39" w14:textId="77777777" w:rsidR="001200B7" w:rsidRDefault="001200B7" w:rsidP="001200B7">
      <w:r>
        <w:t>Delivery of the strategy’s vision will be guided by eight responses, including:</w:t>
      </w:r>
    </w:p>
    <w:p w14:paraId="7B54A68C" w14:textId="357BB002" w:rsidR="001200B7" w:rsidRDefault="001200B7" w:rsidP="001200B7">
      <w:pPr>
        <w:pStyle w:val="ListParagraph"/>
        <w:numPr>
          <w:ilvl w:val="0"/>
          <w:numId w:val="41"/>
        </w:numPr>
      </w:pPr>
      <w:r>
        <w:t>a safe and connected network</w:t>
      </w:r>
    </w:p>
    <w:p w14:paraId="79863188" w14:textId="651C1F08" w:rsidR="001200B7" w:rsidRDefault="001200B7" w:rsidP="001200B7">
      <w:pPr>
        <w:pStyle w:val="ListParagraph"/>
        <w:numPr>
          <w:ilvl w:val="0"/>
          <w:numId w:val="41"/>
        </w:numPr>
      </w:pPr>
      <w:r>
        <w:t>resilience and redundancy</w:t>
      </w:r>
    </w:p>
    <w:p w14:paraId="2C27252B" w14:textId="02DF5BBD" w:rsidR="001200B7" w:rsidRDefault="001200B7" w:rsidP="001200B7">
      <w:pPr>
        <w:pStyle w:val="ListParagraph"/>
        <w:numPr>
          <w:ilvl w:val="0"/>
          <w:numId w:val="41"/>
        </w:numPr>
      </w:pPr>
      <w:r>
        <w:t>technology integration</w:t>
      </w:r>
    </w:p>
    <w:p w14:paraId="74C9B8B6" w14:textId="4DCF0F5E" w:rsidR="001200B7" w:rsidRDefault="001200B7" w:rsidP="001200B7">
      <w:pPr>
        <w:pStyle w:val="ListParagraph"/>
        <w:numPr>
          <w:ilvl w:val="0"/>
          <w:numId w:val="41"/>
        </w:numPr>
      </w:pPr>
      <w:r>
        <w:t>regulation and policy harmony</w:t>
      </w:r>
    </w:p>
    <w:p w14:paraId="79C01301" w14:textId="77777777" w:rsidR="001200B7" w:rsidRDefault="001200B7" w:rsidP="001200B7">
      <w:r>
        <w:t>The Department is currently preparing a draft implementation plan. The plan will outline a specific program of initiatives and projects that will be delivered over the short, medium and long term.</w:t>
      </w:r>
    </w:p>
    <w:p w14:paraId="35C5F0BB" w14:textId="7306C850" w:rsidR="001200B7" w:rsidRDefault="001200B7">
      <w:pPr>
        <w:rPr>
          <w:rFonts w:asciiTheme="majorHAnsi" w:eastAsiaTheme="majorEastAsia" w:hAnsiTheme="majorHAnsi" w:cstheme="majorBidi"/>
          <w:color w:val="404040" w:themeColor="text1" w:themeTint="BF"/>
          <w:sz w:val="28"/>
          <w:szCs w:val="28"/>
        </w:rPr>
      </w:pPr>
      <w:r>
        <w:t xml:space="preserve">South Australia’s Strategy is published on the </w:t>
      </w:r>
      <w:hyperlink r:id="rId36" w:history="1">
        <w:r w:rsidRPr="00A91771">
          <w:rPr>
            <w:rStyle w:val="Hyperlink"/>
          </w:rPr>
          <w:t>Department for Infrastructure and Transport’s website</w:t>
        </w:r>
      </w:hyperlink>
      <w:r>
        <w:t>.</w:t>
      </w:r>
      <w:r>
        <w:br w:type="page"/>
      </w:r>
    </w:p>
    <w:p w14:paraId="1587418B" w14:textId="6BB76C58" w:rsidR="00CB74F0" w:rsidRDefault="00CB74F0" w:rsidP="00CB74F0">
      <w:pPr>
        <w:pStyle w:val="Heading2"/>
      </w:pPr>
      <w:bookmarkStart w:id="19" w:name="_Toc228276352"/>
      <w:r w:rsidRPr="00B46AB9">
        <w:rPr>
          <w:noProof/>
        </w:rPr>
        <w:lastRenderedPageBreak/>
        <w:drawing>
          <wp:anchor distT="0" distB="0" distL="114300" distR="114300" simplePos="0" relativeHeight="251658249" behindDoc="0" locked="0" layoutInCell="1" allowOverlap="1" wp14:anchorId="5A54FCEB" wp14:editId="007E7ED6">
            <wp:simplePos x="0" y="0"/>
            <wp:positionH relativeFrom="margin">
              <wp:align>left</wp:align>
            </wp:positionH>
            <wp:positionV relativeFrom="paragraph">
              <wp:posOffset>12700</wp:posOffset>
            </wp:positionV>
            <wp:extent cx="816610" cy="816610"/>
            <wp:effectExtent l="0" t="0" r="2540" b="2540"/>
            <wp:wrapSquare wrapText="bothSides"/>
            <wp:docPr id="275" name="Picture Placeholder 274">
              <a:extLst xmlns:a="http://schemas.openxmlformats.org/drawingml/2006/main">
                <a:ext uri="{FF2B5EF4-FFF2-40B4-BE49-F238E27FC236}">
                  <a16:creationId xmlns:a16="http://schemas.microsoft.com/office/drawing/2014/main" id="{88EB2309-7D4B-435A-103E-BE5AECB25128}"/>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5" name="Picture Placeholder 274">
                      <a:extLst>
                        <a:ext uri="{FF2B5EF4-FFF2-40B4-BE49-F238E27FC236}">
                          <a16:creationId xmlns:a16="http://schemas.microsoft.com/office/drawing/2014/main" id="{88EB2309-7D4B-435A-103E-BE5AECB25128}"/>
                        </a:ext>
                        <a:ext uri="{C183D7F6-B498-43B3-948B-1728B52AA6E4}">
                          <adec:decorative xmlns:adec="http://schemas.microsoft.com/office/drawing/2017/decorative" val="1"/>
                        </a:ext>
                      </a:extLst>
                    </pic:cNvPr>
                    <pic:cNvPicPr>
                      <a:picLocks noGrp="1" noChangeAspect="1"/>
                    </pic:cNvPicPr>
                  </pic:nvPicPr>
                  <pic:blipFill>
                    <a:blip r:embed="rId37">
                      <a:extLst>
                        <a:ext uri="{28A0092B-C50C-407E-A947-70E740481C1C}">
                          <a14:useLocalDpi xmlns:a14="http://schemas.microsoft.com/office/drawing/2010/main" val="0"/>
                        </a:ext>
                      </a:extLst>
                    </a:blip>
                    <a:srcRect/>
                    <a:stretch>
                      <a:fillRect/>
                    </a:stretch>
                  </pic:blipFill>
                  <pic:spPr>
                    <a:xfrm>
                      <a:off x="0" y="0"/>
                      <a:ext cx="816610" cy="816610"/>
                    </a:xfrm>
                    <a:prstGeom prst="rect">
                      <a:avLst/>
                    </a:prstGeom>
                  </pic:spPr>
                </pic:pic>
              </a:graphicData>
            </a:graphic>
            <wp14:sizeRelH relativeFrom="page">
              <wp14:pctWidth>0</wp14:pctWidth>
            </wp14:sizeRelH>
            <wp14:sizeRelV relativeFrom="page">
              <wp14:pctHeight>0</wp14:pctHeight>
            </wp14:sizeRelV>
          </wp:anchor>
        </w:drawing>
      </w:r>
      <w:r>
        <w:t>Northern Territory</w:t>
      </w:r>
      <w:bookmarkEnd w:id="19"/>
    </w:p>
    <w:p w14:paraId="4D7364BA" w14:textId="602D22CD" w:rsidR="00B46AB9" w:rsidRDefault="00B46AB9" w:rsidP="00B46AB9">
      <w:r>
        <w:t>The Northern Territory plays a unique and strategic role in Australia’s freight and supply chain system. While the Territory accounts for a relatively small share of total freight volumes, it is critical to connecting Australia to international markets through the Port of Darwin – Australia’s only capital city port facing Asia. The north–south corridor linking Darwin and Adelaide by both rail and road is a nationally significant supply chain, enabling the movement of bulk commodities, critical minerals and general freight between southern markets and international gateways.</w:t>
      </w:r>
      <w:r w:rsidR="00DA09EC">
        <w:t xml:space="preserve"> </w:t>
      </w:r>
      <w:r w:rsidR="00DA09EC" w:rsidRPr="008C357D">
        <w:t>As Australia’s northern gateway, the NT’s key freight corridors support national trade and defence priorities while also underpinning essential access for remote communities across the Territory</w:t>
      </w:r>
      <w:r w:rsidR="00DA09EC">
        <w:t xml:space="preserve">. </w:t>
      </w:r>
    </w:p>
    <w:p w14:paraId="5EEC0E9B" w14:textId="77777777" w:rsidR="00B46AB9" w:rsidRDefault="00B46AB9" w:rsidP="00B46AB9">
      <w:r>
        <w:t>The Territory’s freight system faces challenges that are distinct from other jurisdictions. Vast distances, sparse population, reliance on a limited number of key corridors, and vulnerability to natural disasters such as cyclones, flooding and bushfires make resilience planning essential. Ensuring secure, reliable access to remote and regional communities is a priority, particularly for the supply of food, fuel and essential services. These issues highlight the importance of actions under the National Strategy related to resilience planning, skills development and investment in nationally significant corridors.</w:t>
      </w:r>
    </w:p>
    <w:p w14:paraId="20F944C0" w14:textId="77777777" w:rsidR="00B46AB9" w:rsidRDefault="00B46AB9" w:rsidP="00B46AB9">
      <w:r>
        <w:t>The NT Government, in collaboration with the National Intermodal Corporation, is working to expand rail sidings and spurs and improve rail efficiency and multimodal freight capacity. These initiatives aim to reduce the reliance on long-distance road transport, lowering heavy vehicle traffic across the Territory and contributing to a more efficient and sustainable freight network.</w:t>
      </w:r>
    </w:p>
    <w:p w14:paraId="15CF3792" w14:textId="31710A39" w:rsidR="00B46AB9" w:rsidRDefault="00B46AB9" w:rsidP="00B46AB9">
      <w:r>
        <w:t>The National Freight and Supply Chain Strategy</w:t>
      </w:r>
      <w:r w:rsidR="009B2394">
        <w:t xml:space="preserve"> (NFSCS)</w:t>
      </w:r>
      <w:r>
        <w:t xml:space="preserve"> </w:t>
      </w:r>
      <w:proofErr w:type="gramStart"/>
      <w:r>
        <w:t>aligns</w:t>
      </w:r>
      <w:proofErr w:type="gramEnd"/>
      <w:r>
        <w:t xml:space="preserve"> closely with the Northern Territory’s freight priorities, particularly the focus on strengthening nationally significant north–south and east–west corridors, enhancing the resilience of supply routes to remote and regional communities, and supporting long-term trade growth through the Port of Darwin.</w:t>
      </w:r>
    </w:p>
    <w:p w14:paraId="499389E5" w14:textId="6B6F6F7A" w:rsidR="00B46AB9" w:rsidRDefault="00B46AB9" w:rsidP="00B46AB9">
      <w:r>
        <w:t xml:space="preserve">The Territory’s freight planning emphasises resilience to natural disasters, supply reliability for isolated communities, and investment in critical infrastructure that supports national trade objectives, particularly the movement of critical minerals and energy exports. The NFSCS provides a valuable framework for aligning the Territory’s efforts with national priorities, ensuring that small but strategically significant jurisdictions are fully integrated into supply chain planning. </w:t>
      </w:r>
    </w:p>
    <w:p w14:paraId="6CFB3920" w14:textId="2D148BCA" w:rsidR="00281867" w:rsidRDefault="00E4045C" w:rsidP="00B46AB9">
      <w:r>
        <w:rPr>
          <w:noProof/>
        </w:rPr>
        <w:drawing>
          <wp:inline distT="0" distB="0" distL="0" distR="0" wp14:anchorId="2CC38A72" wp14:editId="484F5BFC">
            <wp:extent cx="6256020" cy="2857500"/>
            <wp:effectExtent l="0" t="0" r="0" b="0"/>
            <wp:docPr id="99029155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91552"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1507"/>
                    <a:stretch>
                      <a:fillRect/>
                    </a:stretch>
                  </pic:blipFill>
                  <pic:spPr bwMode="auto">
                    <a:xfrm>
                      <a:off x="0" y="0"/>
                      <a:ext cx="6256020" cy="2857500"/>
                    </a:xfrm>
                    <a:prstGeom prst="rect">
                      <a:avLst/>
                    </a:prstGeom>
                    <a:noFill/>
                    <a:ln>
                      <a:noFill/>
                    </a:ln>
                    <a:extLst>
                      <a:ext uri="{53640926-AAD7-44D8-BBD7-CCE9431645EC}">
                        <a14:shadowObscured xmlns:a14="http://schemas.microsoft.com/office/drawing/2010/main"/>
                      </a:ext>
                    </a:extLst>
                  </pic:spPr>
                </pic:pic>
              </a:graphicData>
            </a:graphic>
          </wp:inline>
        </w:drawing>
      </w:r>
      <w:r w:rsidR="00B46AB9">
        <w:t xml:space="preserve">The NT is anticipating the development of an updated Territory freight master plan in </w:t>
      </w:r>
      <w:proofErr w:type="gramStart"/>
      <w:r w:rsidR="00B46AB9">
        <w:t>2026</w:t>
      </w:r>
      <w:proofErr w:type="gramEnd"/>
      <w:r w:rsidR="00B46AB9">
        <w:t xml:space="preserve"> and it is expected that the plan will align closely with the new National Freight and Supply Chain Strategy and reflect the Territory’s evolving infrastructure and industry needs.</w:t>
      </w:r>
    </w:p>
    <w:p w14:paraId="41D529B6" w14:textId="6B398AA6" w:rsidR="00491AC7" w:rsidRDefault="00491AC7" w:rsidP="00491AC7">
      <w:pPr>
        <w:sectPr w:rsidR="00491AC7" w:rsidSect="00F867B1">
          <w:pgSz w:w="11906" w:h="16838" w:code="9"/>
          <w:pgMar w:top="1021" w:right="1021" w:bottom="1021" w:left="1021" w:header="340" w:footer="397" w:gutter="0"/>
          <w:cols w:space="708"/>
          <w:docGrid w:linePitch="360"/>
        </w:sectPr>
      </w:pPr>
    </w:p>
    <w:p w14:paraId="385984ED" w14:textId="474800FA" w:rsidR="00C51FC0" w:rsidRPr="00CA2D44" w:rsidRDefault="00C51FC0" w:rsidP="00AD62AC">
      <w:pPr>
        <w:pStyle w:val="Heading1"/>
      </w:pPr>
      <w:bookmarkStart w:id="20" w:name="_Toc228276353"/>
      <w:r w:rsidRPr="00CA2D44">
        <w:lastRenderedPageBreak/>
        <w:t>New tech</w:t>
      </w:r>
      <w:r w:rsidR="003E4A5A">
        <w:t>nology</w:t>
      </w:r>
      <w:r w:rsidRPr="00CA2D44">
        <w:t xml:space="preserve"> case studies</w:t>
      </w:r>
      <w:bookmarkEnd w:id="20"/>
    </w:p>
    <w:p w14:paraId="7EFE74FE" w14:textId="4D1C0B90" w:rsidR="00C51FC0" w:rsidRDefault="004040A1" w:rsidP="00CB4D8A">
      <w:r>
        <w:t>Action 1.4 of the National Action Plan p</w:t>
      </w:r>
      <w:r w:rsidRPr="004040A1">
        <w:t>romote</w:t>
      </w:r>
      <w:r>
        <w:t>s the</w:t>
      </w:r>
      <w:r w:rsidRPr="004040A1">
        <w:t xml:space="preserve"> uptake of technology to improve safety</w:t>
      </w:r>
      <w:r w:rsidR="00CB4D8A">
        <w:t xml:space="preserve">, </w:t>
      </w:r>
      <w:r w:rsidRPr="004040A1">
        <w:t>productivity</w:t>
      </w:r>
      <w:r w:rsidR="00CB4D8A">
        <w:t xml:space="preserve"> and reduced carbon emissions</w:t>
      </w:r>
      <w:r>
        <w:t xml:space="preserve">. This is an ongoing project that will be conducted over the life of the Strategy. Each annual report </w:t>
      </w:r>
      <w:r w:rsidR="00CB4D8A">
        <w:t>will contain case studies that highlight</w:t>
      </w:r>
      <w:r w:rsidR="00CB4D8A" w:rsidRPr="00CB4D8A">
        <w:t xml:space="preserve"> </w:t>
      </w:r>
      <w:r w:rsidR="00CB4D8A">
        <w:t>some technologies and trials that have the potential for national impact.</w:t>
      </w:r>
    </w:p>
    <w:p w14:paraId="5EA0E53A" w14:textId="2FFCC0D4" w:rsidR="001173EF" w:rsidRPr="001173EF" w:rsidRDefault="001173EF" w:rsidP="001173EF">
      <w:pPr>
        <w:pStyle w:val="Box1Heading"/>
      </w:pPr>
      <w:r w:rsidRPr="001173EF">
        <w:t xml:space="preserve">Main Roads WA Cooperative Intelligent Transport Systems (C-ITS) Trial </w:t>
      </w:r>
    </w:p>
    <w:p w14:paraId="188CC129" w14:textId="5FA9D450" w:rsidR="001173EF" w:rsidRPr="001173EF" w:rsidRDefault="001173EF" w:rsidP="001173EF">
      <w:pPr>
        <w:pStyle w:val="Box1Text"/>
        <w:rPr>
          <w:lang w:val="en-AU"/>
        </w:rPr>
      </w:pPr>
      <w:r w:rsidRPr="001173EF">
        <w:rPr>
          <w:lang w:val="en-AU"/>
        </w:rPr>
        <w:t xml:space="preserve">Main Roads Western Australia partnered with the Queensland Department of Transport and Main Roads to deliver a Cooperative Intelligent Transport Systems (C-ITS) Pre-Deployment along the Mitchell Freeway southbound corridor from Hester Avenue to Vincent Street. </w:t>
      </w:r>
    </w:p>
    <w:p w14:paraId="78B3FB06" w14:textId="1E58E30E" w:rsidR="001173EF" w:rsidRPr="001173EF" w:rsidRDefault="001173EF" w:rsidP="001173EF">
      <w:pPr>
        <w:pStyle w:val="Box1Text"/>
        <w:rPr>
          <w:lang w:val="en-AU"/>
        </w:rPr>
      </w:pPr>
      <w:r w:rsidRPr="001173EF">
        <w:rPr>
          <w:lang w:val="en-AU"/>
        </w:rPr>
        <w:t xml:space="preserve">C-ITS technologies enable secure, real-time communication between vehicles and roadside infrastructure, providing drivers with location-specific warnings and safety information. Conducted between February and August 2024, this pre-deployment tested in-vehicle awareness and warning messages to establish the technical, operational, and communications foundations required for broader rollout across the State. </w:t>
      </w:r>
    </w:p>
    <w:p w14:paraId="6E23E7B4" w14:textId="56EE7387" w:rsidR="001173EF" w:rsidRPr="001173EF" w:rsidRDefault="001173EF" w:rsidP="001173EF">
      <w:pPr>
        <w:pStyle w:val="Box1Text"/>
        <w:rPr>
          <w:lang w:val="en-AU"/>
        </w:rPr>
      </w:pPr>
      <w:r w:rsidRPr="001173EF">
        <w:rPr>
          <w:lang w:val="en-AU"/>
        </w:rPr>
        <w:t xml:space="preserve">Vehicles equipped with C-ITS technology received advance warnings of roadworks, temporary speed limit changes, and real-time alerts about upcoming hazards. Results demonstrated how connected vehicle technologies can enhance driver awareness, improve compliance at roadworks, and reduce speed variability, key contributors to safer, more predictable journeys. </w:t>
      </w:r>
    </w:p>
    <w:p w14:paraId="4203D7CC" w14:textId="46FBBB5F" w:rsidR="001173EF" w:rsidRPr="001173EF" w:rsidRDefault="001173EF" w:rsidP="001173EF">
      <w:pPr>
        <w:pStyle w:val="Box1Text"/>
        <w:rPr>
          <w:lang w:val="en-AU"/>
        </w:rPr>
      </w:pPr>
      <w:r w:rsidRPr="001173EF">
        <w:rPr>
          <w:lang w:val="en-AU"/>
        </w:rPr>
        <w:t xml:space="preserve">Insights from this initiative directly shaped the Main Roads C-ITS Roadmap, which provides a structured pathway for deploying connected vehicle infrastructure across Western Australia’s metropolitan, regional, and freight corridors. From 2025/26 onwards, Main Roads will commence phased deployments targeting high-risk intersections, work zones, and freight routes to improve safety, reduce delays, and increase network productivity. </w:t>
      </w:r>
    </w:p>
    <w:p w14:paraId="059F9B6C" w14:textId="148CF927" w:rsidR="00CB4D8A" w:rsidRDefault="001173EF" w:rsidP="001173EF">
      <w:pPr>
        <w:pStyle w:val="Box1Text"/>
        <w:rPr>
          <w:lang w:val="en-AU"/>
        </w:rPr>
      </w:pPr>
      <w:r w:rsidRPr="001173EF">
        <w:rPr>
          <w:lang w:val="en-AU"/>
        </w:rPr>
        <w:t>This pre-deployment represents a critical step toward a nationally harmonised C-ITS ecosystem, positioning Western Australia as a leader in future mobility and supporting safer, more reliable, and more efficient freight movement across the State.</w:t>
      </w:r>
    </w:p>
    <w:p w14:paraId="0A63E539" w14:textId="77777777" w:rsidR="00582779" w:rsidRDefault="00582779" w:rsidP="00582779">
      <w:pPr>
        <w:pStyle w:val="Box1Text"/>
        <w:rPr>
          <w:lang w:val="en-AU"/>
        </w:rPr>
      </w:pPr>
      <w:r>
        <w:rPr>
          <w:noProof/>
          <w:lang w:val="en-AU"/>
        </w:rPr>
        <w:drawing>
          <wp:inline distT="0" distB="0" distL="0" distR="0" wp14:anchorId="355D77F3" wp14:editId="3808DEE1">
            <wp:extent cx="2691157" cy="1647825"/>
            <wp:effectExtent l="0" t="0" r="0" b="0"/>
            <wp:docPr id="398783673" name="Picture 2" descr="Four panels that show how C-ITS works: Panel 1 shows a car on the road receiving signals from a satellite. An on-screen flood warning is shown as an inset.&#10;Panel 2 has multiple cars on a highway, all receiving the satellite message at once.&#10;Panel 3 shows the inside of a car drivcing on a highway with a C-ITS device on the dash.&#10;Panel 4 is close up of the C-ITS device on the dash, showing the current speed limit and a roadworks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83673" name="Picture 2" descr="Four panels that show how C-ITS works: Panel 1 shows a car on the road receiving signals from a satellite. An on-screen flood warning is shown as an inset.&#10;Panel 2 has multiple cars on a highway, all receiving the satellite message at once.&#10;Panel 3 shows the inside of a car drivcing on a highway with a C-ITS device on the dash.&#10;Panel 4 is close up of the C-ITS device on the dash, showing the current speed limit and a roadworks warn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2750" cy="1648800"/>
                    </a:xfrm>
                    <a:prstGeom prst="rect">
                      <a:avLst/>
                    </a:prstGeom>
                    <a:noFill/>
                    <a:ln>
                      <a:noFill/>
                    </a:ln>
                  </pic:spPr>
                </pic:pic>
              </a:graphicData>
            </a:graphic>
          </wp:inline>
        </w:drawing>
      </w:r>
      <w:r>
        <w:rPr>
          <w:lang w:val="en-AU"/>
        </w:rPr>
        <w:t xml:space="preserve">    </w:t>
      </w:r>
      <w:r>
        <w:rPr>
          <w:noProof/>
        </w:rPr>
        <w:drawing>
          <wp:inline distT="0" distB="0" distL="0" distR="0" wp14:anchorId="7C85F0FB" wp14:editId="55EC9AA5">
            <wp:extent cx="2940050" cy="1651714"/>
            <wp:effectExtent l="0" t="0" r="0" b="5715"/>
            <wp:docPr id="1105228603" name="Picture 3" descr="A truck driving down a remote road receiving signals from a satellite. The text shows three potential messages: flood warning, road closed ahead and seek alternative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28603" name="Picture 3" descr="A truck driving down a remote road receiving signals from a satellite. The text shows three potential messages: flood warning, road closed ahead and seek alternative rou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44228" cy="1654061"/>
                    </a:xfrm>
                    <a:prstGeom prst="rect">
                      <a:avLst/>
                    </a:prstGeom>
                    <a:noFill/>
                    <a:ln>
                      <a:noFill/>
                    </a:ln>
                  </pic:spPr>
                </pic:pic>
              </a:graphicData>
            </a:graphic>
          </wp:inline>
        </w:drawing>
      </w:r>
    </w:p>
    <w:p w14:paraId="0DF97AA5" w14:textId="46EBDA07" w:rsidR="001173EF" w:rsidRDefault="001173EF">
      <w:pPr>
        <w:rPr>
          <w:lang w:val="x-none"/>
        </w:rPr>
      </w:pPr>
      <w:r>
        <w:br w:type="page"/>
      </w:r>
    </w:p>
    <w:p w14:paraId="4470F30C" w14:textId="7EB012AC" w:rsidR="006C4B6D" w:rsidRPr="006C4B6D" w:rsidRDefault="006C4B6D" w:rsidP="001279D5">
      <w:pPr>
        <w:pStyle w:val="Box1Heading"/>
      </w:pPr>
      <w:r w:rsidRPr="006C4B6D">
        <w:lastRenderedPageBreak/>
        <w:t>Drones for Roads</w:t>
      </w:r>
    </w:p>
    <w:p w14:paraId="4E076AA0" w14:textId="60EE2AE8" w:rsidR="006C4B6D" w:rsidRPr="00B379D9" w:rsidRDefault="006C4B6D" w:rsidP="001279D5">
      <w:pPr>
        <w:pStyle w:val="Box1Text"/>
      </w:pPr>
      <w:r w:rsidRPr="006C4B6D">
        <w:t xml:space="preserve">In an Australian first, Transport for NSW will be able to fly drones alongside and across highways for remotely piloted scheduled flights, without spotters, enabling them to rapidly respond to incidents near </w:t>
      </w:r>
      <w:r w:rsidRPr="00B379D9">
        <w:t>Greater Sydney traffic hotspots.</w:t>
      </w:r>
      <w:r w:rsidR="00B379D9" w:rsidRPr="00B379D9">
        <w:t xml:space="preserve"> </w:t>
      </w:r>
      <w:r w:rsidRPr="00B379D9">
        <w:t xml:space="preserve">The first drone-in-a-box units will be installed along key freight routes in Greater Sydney at the M1 near Mooney </w:t>
      </w:r>
      <w:proofErr w:type="spellStart"/>
      <w:r w:rsidRPr="00B379D9">
        <w:t>Mooney</w:t>
      </w:r>
      <w:proofErr w:type="spellEnd"/>
      <w:r w:rsidRPr="00B379D9">
        <w:t xml:space="preserve"> and the Hume Highway at Narellan, as part of the Drones for Roads Program.</w:t>
      </w:r>
    </w:p>
    <w:p w14:paraId="3162088A" w14:textId="13ABD7FA" w:rsidR="006C4B6D" w:rsidRPr="006C4B6D" w:rsidRDefault="006C4B6D" w:rsidP="001279D5">
      <w:pPr>
        <w:pStyle w:val="Box1Text"/>
      </w:pPr>
      <w:r w:rsidRPr="00B379D9">
        <w:t>Each flight is fully supervised by an accredited Transport Management Centre (TMC) pilot, with drones equipped with fail-safe systems, approved flight zones, and onboard diagnostics. From the TMC nerve centre, pilots can deploy and control drones located more than 50km away, dramatically reducing the time it takes to get eyes on</w:t>
      </w:r>
      <w:r w:rsidRPr="006C4B6D">
        <w:t xml:space="preserve"> an incident.</w:t>
      </w:r>
    </w:p>
    <w:p w14:paraId="0E41D585" w14:textId="7D3D15A4" w:rsidR="006C4B6D" w:rsidRPr="006C4B6D" w:rsidRDefault="006C4B6D" w:rsidP="001279D5">
      <w:pPr>
        <w:pStyle w:val="Box1Text"/>
      </w:pPr>
      <w:r w:rsidRPr="006C4B6D">
        <w:t>The TMC has reported a significant reduction in disruption recovery times when a drone has been deployed to help get people and freight moving faster after a traffic disruption on NSW roads.  In the last year drones have responded to around 150 incidents, more than 120 where there have been full lane closures.</w:t>
      </w:r>
    </w:p>
    <w:p w14:paraId="4204783B" w14:textId="77777777" w:rsidR="001279D5" w:rsidRDefault="006C4B6D" w:rsidP="001279D5">
      <w:pPr>
        <w:pStyle w:val="Box1Text"/>
      </w:pPr>
      <w:r w:rsidRPr="006C4B6D">
        <w:t>Live drone streams provide critical real-time situational awareness, enabling operators to assess incident severity, lane closures, queue lengths, and traffic conditions. This information is pushed to drivers via variable message signs and apps like Live Traffic, helping heavy vehicle drivers and freight operators plan routes and avoid delays.</w:t>
      </w:r>
      <w:r w:rsidR="00E12A6D" w:rsidRPr="006C4B6D">
        <w:t xml:space="preserve"> </w:t>
      </w:r>
    </w:p>
    <w:p w14:paraId="40057183" w14:textId="4726B5C4" w:rsidR="00EE67AC" w:rsidRDefault="001279D5" w:rsidP="00582779">
      <w:pPr>
        <w:pStyle w:val="Box1Text"/>
      </w:pPr>
      <w:r w:rsidRPr="009C45CA">
        <w:rPr>
          <w:noProof/>
        </w:rPr>
        <w:drawing>
          <wp:inline distT="0" distB="0" distL="0" distR="0" wp14:anchorId="174ADCA8" wp14:editId="411F3C6D">
            <wp:extent cx="3162300" cy="1662466"/>
            <wp:effectExtent l="0" t="0" r="0" b="0"/>
            <wp:docPr id="723828888" name="Picture 1" descr="An example drone used in the pilot delivery program. The drone is plane shaped and red. The cargo bay in the top is open showing parc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28888" name="Picture 1" descr="An example drone used in the pilot delivery program. The drone is plane shaped and red. The cargo bay in the top is open showing parcel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62300" cy="1662466"/>
                    </a:xfrm>
                    <a:prstGeom prst="rect">
                      <a:avLst/>
                    </a:prstGeom>
                  </pic:spPr>
                </pic:pic>
              </a:graphicData>
            </a:graphic>
          </wp:inline>
        </w:drawing>
      </w:r>
      <w:r w:rsidR="00582779">
        <w:t xml:space="preserve">    </w:t>
      </w:r>
      <w:r w:rsidR="00EE67AC">
        <w:rPr>
          <w:noProof/>
        </w:rPr>
        <w:drawing>
          <wp:inline distT="0" distB="0" distL="0" distR="0" wp14:anchorId="372028F1" wp14:editId="122DCD61">
            <wp:extent cx="2217600" cy="1663200"/>
            <wp:effectExtent l="0" t="0" r="0" b="0"/>
            <wp:docPr id="352351898" name="Picture 1" descr="A highway with cars and trucks on it viewed from a heigh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51898" name="Picture 1" descr="A highway with cars and trucks on it viewed from a height.&#10;&#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17600" cy="1663200"/>
                    </a:xfrm>
                    <a:prstGeom prst="rect">
                      <a:avLst/>
                    </a:prstGeom>
                    <a:noFill/>
                    <a:ln>
                      <a:noFill/>
                    </a:ln>
                  </pic:spPr>
                </pic:pic>
              </a:graphicData>
            </a:graphic>
          </wp:inline>
        </w:drawing>
      </w:r>
    </w:p>
    <w:p w14:paraId="36C12DC7" w14:textId="62B6D059" w:rsidR="00EE67AC" w:rsidRPr="00EE67AC" w:rsidRDefault="00EE67AC" w:rsidP="001279D5">
      <w:pPr>
        <w:pStyle w:val="Box1Heading"/>
        <w:rPr>
          <w:rFonts w:eastAsiaTheme="majorEastAsia"/>
        </w:rPr>
      </w:pPr>
      <w:r w:rsidRPr="00EE67AC">
        <w:rPr>
          <w:rFonts w:eastAsiaTheme="majorEastAsia"/>
        </w:rPr>
        <w:t xml:space="preserve">Remote Delivery Innovation </w:t>
      </w:r>
    </w:p>
    <w:p w14:paraId="2C05EECE" w14:textId="735773C2" w:rsidR="00EE67AC" w:rsidRPr="00EE67AC" w:rsidRDefault="00EE67AC" w:rsidP="001279D5">
      <w:pPr>
        <w:pStyle w:val="Box1Text"/>
        <w:rPr>
          <w:rFonts w:eastAsiaTheme="majorEastAsia"/>
        </w:rPr>
      </w:pPr>
      <w:r w:rsidRPr="00EE67AC">
        <w:rPr>
          <w:rFonts w:eastAsiaTheme="majorEastAsia"/>
        </w:rPr>
        <w:t>The Northern Territory has been trialling innovative technologies to improve the reliability and efficiency of freight services to remote and regional communities. In 2024–25, a pilot program was initiated to explore the use of drone and autonomous vehicle technology for last-mile delivery of medical supplies to communities cut off during seasonal flooding.</w:t>
      </w:r>
    </w:p>
    <w:p w14:paraId="7AA7218F" w14:textId="0A077521" w:rsidR="00EE67AC" w:rsidRPr="00EE67AC" w:rsidRDefault="00EE67AC" w:rsidP="001279D5">
      <w:pPr>
        <w:pStyle w:val="Box1Text"/>
        <w:rPr>
          <w:rFonts w:eastAsiaTheme="majorEastAsia"/>
        </w:rPr>
      </w:pPr>
      <w:r w:rsidRPr="00EE67AC">
        <w:rPr>
          <w:rFonts w:eastAsiaTheme="majorEastAsia"/>
        </w:rPr>
        <w:t>Led by Charles Darwin University’s North Australia Centre for Autonomous Systems</w:t>
      </w:r>
      <w:r w:rsidR="006F60AF">
        <w:rPr>
          <w:rFonts w:eastAsiaTheme="majorEastAsia"/>
        </w:rPr>
        <w:t>,</w:t>
      </w:r>
      <w:r w:rsidRPr="00EE67AC">
        <w:rPr>
          <w:rFonts w:eastAsiaTheme="majorEastAsia"/>
        </w:rPr>
        <w:t xml:space="preserve"> the pilot has investigated the feasibility of using autonomous drones to deliver small, high-value cargo into remote areas. A proof-of-concept trial between Jabiru and </w:t>
      </w:r>
      <w:proofErr w:type="spellStart"/>
      <w:r w:rsidRPr="00EE67AC">
        <w:rPr>
          <w:rFonts w:eastAsiaTheme="majorEastAsia"/>
        </w:rPr>
        <w:t>Gunbalanya</w:t>
      </w:r>
      <w:proofErr w:type="spellEnd"/>
      <w:r w:rsidRPr="00EE67AC">
        <w:rPr>
          <w:rFonts w:eastAsiaTheme="majorEastAsia"/>
        </w:rPr>
        <w:t xml:space="preserve"> aimed to establish a “last-mile airbridge” for medical deliveries, undertaken in collaboration with NT Health, </w:t>
      </w:r>
      <w:proofErr w:type="spellStart"/>
      <w:r w:rsidRPr="00EE67AC">
        <w:rPr>
          <w:rFonts w:eastAsiaTheme="majorEastAsia"/>
        </w:rPr>
        <w:t>iMOVE</w:t>
      </w:r>
      <w:proofErr w:type="spellEnd"/>
      <w:r w:rsidRPr="00EE67AC">
        <w:rPr>
          <w:rFonts w:eastAsiaTheme="majorEastAsia"/>
        </w:rPr>
        <w:t xml:space="preserve"> Australia, and local community health partners. </w:t>
      </w:r>
    </w:p>
    <w:p w14:paraId="14777CBC" w14:textId="78BF6B26" w:rsidR="00EE67AC" w:rsidRDefault="00EE67AC" w:rsidP="001279D5">
      <w:pPr>
        <w:pStyle w:val="Box1Text"/>
        <w:rPr>
          <w:rFonts w:eastAsiaTheme="majorEastAsia"/>
        </w:rPr>
      </w:pPr>
      <w:r w:rsidRPr="00EE67AC">
        <w:rPr>
          <w:rFonts w:eastAsiaTheme="majorEastAsia"/>
        </w:rPr>
        <w:t>The technologies are not intended to replace heavy freight movements but to complement them by ensuring continuity of supply for time-sensitive goods when road and air access are restricted. Outcomes from the trial can inform broader national adoption of emerging freight technologies, particularly in the areas of supply chain resilience, decarbonisation, and service delivery to remote communities.</w:t>
      </w:r>
    </w:p>
    <w:p w14:paraId="7E6CC5DF" w14:textId="15CBA1A8" w:rsidR="00491AC7" w:rsidRDefault="00452585" w:rsidP="00AD62AC">
      <w:pPr>
        <w:pStyle w:val="Heading1"/>
      </w:pPr>
      <w:bookmarkStart w:id="21" w:name="_Toc228276354"/>
      <w:r>
        <w:lastRenderedPageBreak/>
        <w:t>Our progress</w:t>
      </w:r>
      <w:bookmarkEnd w:id="21"/>
    </w:p>
    <w:p w14:paraId="7B355322" w14:textId="75858F0A" w:rsidR="00224B5F" w:rsidRDefault="00452585" w:rsidP="00452585">
      <w:bookmarkStart w:id="22" w:name="_Toc159927535"/>
      <w:r>
        <w:t xml:space="preserve">As part of the </w:t>
      </w:r>
      <w:r w:rsidR="00E6380A">
        <w:t>Strategy</w:t>
      </w:r>
      <w:r>
        <w:t xml:space="preserve"> refresh, key performance measures that align with Strategy goals were identified. These measures are intended to provide a holistic picture of the health of the freight and supply chain sector, and in future will sit alongside progress reporting on actions. As there has </w:t>
      </w:r>
      <w:r w:rsidR="00CC0A18">
        <w:t xml:space="preserve">only </w:t>
      </w:r>
      <w:r>
        <w:t>been</w:t>
      </w:r>
      <w:r w:rsidR="00CC0A18">
        <w:t xml:space="preserve"> a short </w:t>
      </w:r>
      <w:r>
        <w:t xml:space="preserve">time since the launch of the refreshed </w:t>
      </w:r>
      <w:r w:rsidR="00E6380A">
        <w:t>S</w:t>
      </w:r>
      <w:r>
        <w:t>trategy, the actions will not be reported against in th</w:t>
      </w:r>
      <w:r w:rsidR="00E6380A">
        <w:t>is</w:t>
      </w:r>
      <w:r>
        <w:t xml:space="preserve"> report. Development of additional</w:t>
      </w:r>
      <w:r w:rsidR="00B92C0C">
        <w:t xml:space="preserve"> measures will be undertaken throughout </w:t>
      </w:r>
      <w:r w:rsidR="00D36486">
        <w:t>2025-26 and</w:t>
      </w:r>
      <w:r w:rsidR="00B92C0C">
        <w:t xml:space="preserve"> included in the 2026 report.</w:t>
      </w:r>
    </w:p>
    <w:p w14:paraId="60BF5F63" w14:textId="7BD498D6" w:rsidR="00C46453" w:rsidRDefault="00662DF6" w:rsidP="00C46453">
      <w:pPr>
        <w:pStyle w:val="Heading2"/>
      </w:pPr>
      <w:bookmarkStart w:id="23" w:name="_Toc228276355"/>
      <w:r>
        <w:t>Context</w:t>
      </w:r>
      <w:bookmarkEnd w:id="23"/>
    </w:p>
    <w:p w14:paraId="189B8740" w14:textId="3F3D5DA5" w:rsidR="000F127F" w:rsidRDefault="003048AE" w:rsidP="003048AE">
      <w:r>
        <w:t xml:space="preserve">Understanding changes in the freight task is important context for understanding changes in other </w:t>
      </w:r>
      <w:r w:rsidR="00B7746A">
        <w:t xml:space="preserve">freight-related </w:t>
      </w:r>
      <w:r w:rsidR="00F957AB">
        <w:t>measures</w:t>
      </w:r>
      <w:r>
        <w:t xml:space="preserve">. </w:t>
      </w:r>
      <w:r w:rsidR="00B7746A">
        <w:t>Absolute</w:t>
      </w:r>
      <w:r>
        <w:t xml:space="preserve"> </w:t>
      </w:r>
      <w:r w:rsidR="00B7746A">
        <w:t>measures</w:t>
      </w:r>
      <w:r>
        <w:t xml:space="preserve">, such as carbon emissions or truck fatalities, can increase because there is more traffic </w:t>
      </w:r>
      <w:r w:rsidR="00B96352">
        <w:t>on the roads, even if the accident rate or emissions intensity falls</w:t>
      </w:r>
      <w:r>
        <w:t xml:space="preserve">. </w:t>
      </w:r>
      <w:r w:rsidR="000F127F">
        <w:fldChar w:fldCharType="begin"/>
      </w:r>
      <w:r w:rsidR="000F127F">
        <w:instrText xml:space="preserve"> REF _Ref205986795 \h </w:instrText>
      </w:r>
      <w:r w:rsidR="000F127F">
        <w:fldChar w:fldCharType="separate"/>
      </w:r>
      <w:r w:rsidR="00E4045C">
        <w:t xml:space="preserve">Figure </w:t>
      </w:r>
      <w:r w:rsidR="00E4045C">
        <w:rPr>
          <w:noProof/>
        </w:rPr>
        <w:t>1</w:t>
      </w:r>
      <w:r w:rsidR="000F127F">
        <w:fldChar w:fldCharType="end"/>
      </w:r>
      <w:r w:rsidR="000F127F">
        <w:t xml:space="preserve"> shows Australia’s domestic freight task by mode.</w:t>
      </w:r>
    </w:p>
    <w:p w14:paraId="748BF234" w14:textId="554FBA75" w:rsidR="00E42999" w:rsidRPr="00662DF6" w:rsidRDefault="00E42999" w:rsidP="00E42999">
      <w:r>
        <w:t>The total freight task grew steadily peaking in 2018-19 but then declined</w:t>
      </w:r>
      <w:r w:rsidR="008F4C0F">
        <w:t xml:space="preserve"> during the pandemic</w:t>
      </w:r>
      <w:r>
        <w:t xml:space="preserve">, driven by falls in bulk freight across all modes particularly in heavy haul coal on rail. </w:t>
      </w:r>
      <w:r w:rsidR="007609E4">
        <w:t xml:space="preserve">Growth returned </w:t>
      </w:r>
      <w:r w:rsidR="000329FF">
        <w:t xml:space="preserve">within two </w:t>
      </w:r>
      <w:proofErr w:type="gramStart"/>
      <w:r w:rsidR="000329FF">
        <w:t>years</w:t>
      </w:r>
      <w:proofErr w:type="gramEnd"/>
      <w:r w:rsidR="000329FF">
        <w:t xml:space="preserve"> </w:t>
      </w:r>
      <w:r w:rsidR="007609E4">
        <w:t xml:space="preserve">and the total freight task exceeded the pre-pandemic levels in 2023-24. </w:t>
      </w:r>
      <w:r>
        <w:t>Even with the pandemic falls, the total freight task has grown by 11% since 2014</w:t>
      </w:r>
      <w:r>
        <w:noBreakHyphen/>
        <w:t>15, driven by high growth in road (25%)</w:t>
      </w:r>
      <w:r w:rsidR="000329FF">
        <w:t xml:space="preserve"> and rail (11%) transport</w:t>
      </w:r>
      <w:r>
        <w:t>.</w:t>
      </w:r>
    </w:p>
    <w:p w14:paraId="0C76B978" w14:textId="0AE3539A" w:rsidR="00DA2DD1" w:rsidRDefault="00DA2DD1" w:rsidP="00DA2DD1">
      <w:pPr>
        <w:pStyle w:val="Caption"/>
        <w:keepNext/>
      </w:pPr>
      <w:bookmarkStart w:id="24" w:name="_Ref205986795"/>
      <w:bookmarkStart w:id="25" w:name="_Toc228276360"/>
      <w:r>
        <w:t xml:space="preserve">Figure </w:t>
      </w:r>
      <w:fldSimple w:instr=" SEQ Figure \* ARABIC ">
        <w:r w:rsidR="00E4045C">
          <w:rPr>
            <w:noProof/>
          </w:rPr>
          <w:t>1</w:t>
        </w:r>
      </w:fldSimple>
      <w:bookmarkEnd w:id="24"/>
      <w:r>
        <w:t xml:space="preserve"> </w:t>
      </w:r>
      <w:bookmarkStart w:id="26" w:name="_Hlk206056963"/>
      <w:r w:rsidRPr="005D3A3A">
        <w:t>Domestic freight by transport mode—total bulk and non–bulk</w:t>
      </w:r>
      <w:bookmarkEnd w:id="25"/>
      <w:bookmarkEnd w:id="26"/>
    </w:p>
    <w:p w14:paraId="0C1C79A4" w14:textId="3F7D97B5" w:rsidR="00662DF6" w:rsidRDefault="00755269" w:rsidP="00662DF6">
      <w:r>
        <w:rPr>
          <w:noProof/>
        </w:rPr>
        <w:drawing>
          <wp:inline distT="0" distB="0" distL="0" distR="0" wp14:anchorId="6E01A92D" wp14:editId="0BBB0E5B">
            <wp:extent cx="6176010" cy="2749550"/>
            <wp:effectExtent l="0" t="0" r="0" b="0"/>
            <wp:docPr id="1182867015" name="Picture 1" descr="Stacked bar chart showing freight transport activity in billion tonne-kilometres from 2004–05 to 2024–25. The chart includes four transport modes:&#10;Road (bottom): Starts around 160 billion tonne-km in 2004–05 and gradually rises to about 250 billion tonne-km by 2024–25.&#10;Rail: Increases significantly from roughly 180 billion tonne-km in 2004–05 to about 450 billion tonne-km by 2024–25, becoming the largest contributor.&#10;Coastal shipping: Remains relatively stable around 100–120 billion tonne-km throughout the period.&#10;Air freight (top): Minimal contribution.&#10;Overall freight activity grows steadily from about 460 billion tonne-km in 2004–05 to nearly 780 billion tonne-km in 2024–25, with rail showing the most substantial growth. There is a small dip during the 2019-2020 and 2020-2021 pandemic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67015" name="Picture 1" descr="Stacked bar chart showing freight transport activity in billion tonne-kilometres from 2004–05 to 2024–25. The chart includes four transport modes:&#10;Road (bottom): Starts around 160 billion tonne-km in 2004–05 and gradually rises to about 250 billion tonne-km by 2024–25.&#10;Rail: Increases significantly from roughly 180 billion tonne-km in 2004–05 to about 450 billion tonne-km by 2024–25, becoming the largest contributor.&#10;Coastal shipping: Remains relatively stable around 100–120 billion tonne-km throughout the period.&#10;Air freight (top): Minimal contribution.&#10;Overall freight activity grows steadily from about 460 billion tonne-km in 2004–05 to nearly 780 billion tonne-km in 2024–25, with rail showing the most substantial growth. There is a small dip during the 2019-2020 and 2020-2021 pandemic year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76010" cy="2749550"/>
                    </a:xfrm>
                    <a:prstGeom prst="rect">
                      <a:avLst/>
                    </a:prstGeom>
                    <a:noFill/>
                  </pic:spPr>
                </pic:pic>
              </a:graphicData>
            </a:graphic>
          </wp:inline>
        </w:drawing>
      </w:r>
    </w:p>
    <w:p w14:paraId="1CB1CF46" w14:textId="666D8940" w:rsidR="00232765" w:rsidRDefault="00232765" w:rsidP="00232765">
      <w:pPr>
        <w:pStyle w:val="Sourcenotes"/>
        <w:rPr>
          <w:lang w:val="en-AU"/>
        </w:rPr>
      </w:pPr>
      <w:r>
        <w:rPr>
          <w:lang w:val="en-AU"/>
        </w:rPr>
        <w:t xml:space="preserve">Source: </w:t>
      </w:r>
      <w:r w:rsidRPr="00232765">
        <w:rPr>
          <w:lang w:val="en-AU"/>
        </w:rPr>
        <w:t>BITRE</w:t>
      </w:r>
      <w:r w:rsidR="00063EAF">
        <w:rPr>
          <w:lang w:val="en-AU"/>
        </w:rPr>
        <w:t xml:space="preserve"> (Bureau of Infrastructure and Transport Research Economics)</w:t>
      </w:r>
      <w:r w:rsidRPr="00232765">
        <w:rPr>
          <w:lang w:val="en-AU"/>
        </w:rPr>
        <w:t xml:space="preserve"> 2025, </w:t>
      </w:r>
      <w:hyperlink r:id="rId44" w:history="1">
        <w:r w:rsidRPr="00461CA9">
          <w:rPr>
            <w:rStyle w:val="Hyperlink"/>
            <w:lang w:val="en-AU"/>
          </w:rPr>
          <w:t>Australian Infrastructure and Transport Statistics Yearbook 202</w:t>
        </w:r>
        <w:r w:rsidR="00AE74FD" w:rsidRPr="00461CA9">
          <w:rPr>
            <w:rStyle w:val="Hyperlink"/>
            <w:lang w:val="en-AU"/>
          </w:rPr>
          <w:t>5</w:t>
        </w:r>
      </w:hyperlink>
      <w:r w:rsidR="00AD5E1F">
        <w:rPr>
          <w:lang w:val="en-AU"/>
        </w:rPr>
        <w:t>.</w:t>
      </w:r>
    </w:p>
    <w:p w14:paraId="2B29C403" w14:textId="35C1C6E0" w:rsidR="00E42999" w:rsidRDefault="00E42999" w:rsidP="00E42999">
      <w:r>
        <w:t>Around three-quarters of the domestic freight task is bulk, the majority of which is transported by rail (</w:t>
      </w:r>
      <w:r>
        <w:fldChar w:fldCharType="begin"/>
      </w:r>
      <w:r>
        <w:instrText xml:space="preserve"> REF _Ref209964649 \h </w:instrText>
      </w:r>
      <w:r>
        <w:fldChar w:fldCharType="separate"/>
      </w:r>
      <w:r w:rsidR="00E4045C">
        <w:t xml:space="preserve">Figure </w:t>
      </w:r>
      <w:r w:rsidR="00E4045C">
        <w:rPr>
          <w:noProof/>
        </w:rPr>
        <w:t>2</w:t>
      </w:r>
      <w:r>
        <w:fldChar w:fldCharType="end"/>
      </w:r>
      <w:r>
        <w:t>). Heavy haul of iron ore from the Pilbara and coal from Central Queensland and the Hunter makes up 91% of the total rail freight task, and nearly half of all domestic freight by volume. Bulk rail is estimated to have declined by 0.5% in 2024-25. This decline is expected to continue as production of the largest bulk commodities reduce output</w:t>
      </w:r>
      <w:r>
        <w:rPr>
          <w:rStyle w:val="FootnoteReference"/>
        </w:rPr>
        <w:footnoteReference w:id="2"/>
      </w:r>
      <w:r>
        <w:t xml:space="preserve">. Bulk coastal shipping has also declined, driven by closures of production facilities across </w:t>
      </w:r>
      <w:proofErr w:type="gramStart"/>
      <w:r>
        <w:t>a number of</w:t>
      </w:r>
      <w:proofErr w:type="gramEnd"/>
      <w:r>
        <w:t xml:space="preserve"> industries</w:t>
      </w:r>
      <w:r>
        <w:rPr>
          <w:rStyle w:val="FootnoteReference"/>
        </w:rPr>
        <w:footnoteReference w:id="3"/>
      </w:r>
      <w:r>
        <w:t>.</w:t>
      </w:r>
    </w:p>
    <w:p w14:paraId="6D125F08" w14:textId="0059EA39" w:rsidR="00E42999" w:rsidRPr="00232765" w:rsidRDefault="00E42999" w:rsidP="0024408C">
      <w:r>
        <w:t>Non-bulk freight is largely transported by road (</w:t>
      </w:r>
      <w:r>
        <w:fldChar w:fldCharType="begin"/>
      </w:r>
      <w:r>
        <w:instrText xml:space="preserve"> REF _Ref209964690 \h </w:instrText>
      </w:r>
      <w:r>
        <w:fldChar w:fldCharType="separate"/>
      </w:r>
      <w:r w:rsidR="00E4045C">
        <w:t xml:space="preserve">Figure </w:t>
      </w:r>
      <w:r w:rsidR="00E4045C">
        <w:rPr>
          <w:noProof/>
        </w:rPr>
        <w:t>3</w:t>
      </w:r>
      <w:r>
        <w:fldChar w:fldCharType="end"/>
      </w:r>
      <w:r>
        <w:t xml:space="preserve">). Non-bulk freight has grown since 2014-15, driven by increases in road freight. </w:t>
      </w:r>
    </w:p>
    <w:p w14:paraId="79AEC721" w14:textId="1CE6A89D" w:rsidR="00614A9E" w:rsidRDefault="00614A9E" w:rsidP="00614A9E">
      <w:pPr>
        <w:pStyle w:val="Caption"/>
        <w:keepNext/>
      </w:pPr>
      <w:bookmarkStart w:id="27" w:name="_Ref209964649"/>
      <w:bookmarkStart w:id="28" w:name="_Toc228276361"/>
      <w:r>
        <w:lastRenderedPageBreak/>
        <w:t xml:space="preserve">Figure </w:t>
      </w:r>
      <w:fldSimple w:instr=" SEQ Figure \* ARABIC ">
        <w:r w:rsidR="00E4045C">
          <w:rPr>
            <w:noProof/>
          </w:rPr>
          <w:t>2</w:t>
        </w:r>
      </w:fldSimple>
      <w:bookmarkEnd w:id="27"/>
      <w:r w:rsidRPr="00614A9E">
        <w:t xml:space="preserve"> Domestic freight by transport mode—bulk</w:t>
      </w:r>
      <w:bookmarkEnd w:id="28"/>
    </w:p>
    <w:p w14:paraId="7C656C75" w14:textId="5031E0E1" w:rsidR="00614A9E" w:rsidRDefault="00755269" w:rsidP="00614A9E">
      <w:pPr>
        <w:keepNext/>
      </w:pPr>
      <w:r>
        <w:rPr>
          <w:noProof/>
        </w:rPr>
        <w:drawing>
          <wp:inline distT="0" distB="0" distL="0" distR="0" wp14:anchorId="5A82FB21" wp14:editId="1A8CB485">
            <wp:extent cx="6224270" cy="2876550"/>
            <wp:effectExtent l="0" t="0" r="5080" b="0"/>
            <wp:docPr id="1823586593" name="Picture 2" descr="Stacked bar chart showing bulk freight transport activity in billion tonne-kilometres from 2014–15 to 2024–25. The chart includes three transport modes:&#10;Road (bottom): Remains stable around 80–90 billion tonne-km across all years.&#10;Rail: Dominates bulk freight, consistently around 400–420 billion tonne-km throughout the period.&#10;Coastal shipping (top): Adds roughly 90–100 billion tonne-km, with minor fluctuations.&#10;Overall bulk freight stays relatively constant at about 570–600 billion tonne-km. There is a small dip during the 2019-2020 and 2020-2021 pandemic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86593" name="Picture 2" descr="Stacked bar chart showing bulk freight transport activity in billion tonne-kilometres from 2014–15 to 2024–25. The chart includes three transport modes:&#10;Road (bottom): Remains stable around 80–90 billion tonne-km across all years.&#10;Rail: Dominates bulk freight, consistently around 400–420 billion tonne-km throughout the period.&#10;Coastal shipping (top): Adds roughly 90–100 billion tonne-km, with minor fluctuations.&#10;Overall bulk freight stays relatively constant at about 570–600 billion tonne-km. There is a small dip during the 2019-2020 and 2020-2021 pandemic year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24270" cy="2876550"/>
                    </a:xfrm>
                    <a:prstGeom prst="rect">
                      <a:avLst/>
                    </a:prstGeom>
                    <a:noFill/>
                  </pic:spPr>
                </pic:pic>
              </a:graphicData>
            </a:graphic>
          </wp:inline>
        </w:drawing>
      </w:r>
    </w:p>
    <w:p w14:paraId="22C93BE4" w14:textId="34B52CF0" w:rsidR="005673BD" w:rsidRPr="00232765" w:rsidRDefault="005673BD" w:rsidP="005673BD">
      <w:pPr>
        <w:pStyle w:val="Sourcenotes"/>
        <w:rPr>
          <w:lang w:val="en-AU"/>
        </w:rPr>
      </w:pPr>
      <w:r>
        <w:rPr>
          <w:lang w:val="en-AU"/>
        </w:rPr>
        <w:t xml:space="preserve">Source: </w:t>
      </w:r>
      <w:r w:rsidRPr="00232765">
        <w:rPr>
          <w:lang w:val="en-AU"/>
        </w:rPr>
        <w:t xml:space="preserve">BITRE, 2025, </w:t>
      </w:r>
      <w:hyperlink r:id="rId46" w:history="1">
        <w:r w:rsidRPr="00461CA9">
          <w:rPr>
            <w:rStyle w:val="Hyperlink"/>
            <w:lang w:val="en-AU"/>
          </w:rPr>
          <w:t>Australian Infrastructure and Transport Statistics Yearbook 202</w:t>
        </w:r>
        <w:r w:rsidR="00AE74FD" w:rsidRPr="00461CA9">
          <w:rPr>
            <w:rStyle w:val="Hyperlink"/>
            <w:lang w:val="en-AU"/>
          </w:rPr>
          <w:t>5</w:t>
        </w:r>
      </w:hyperlink>
      <w:r>
        <w:rPr>
          <w:lang w:val="en-AU"/>
        </w:rPr>
        <w:t>.</w:t>
      </w:r>
      <w:r w:rsidR="00717849">
        <w:rPr>
          <w:lang w:val="en-AU"/>
        </w:rPr>
        <w:br/>
      </w:r>
    </w:p>
    <w:p w14:paraId="3FBC9630" w14:textId="2A1D6991" w:rsidR="00614A9E" w:rsidRDefault="00614A9E" w:rsidP="00614A9E">
      <w:pPr>
        <w:pStyle w:val="Caption"/>
        <w:keepNext/>
      </w:pPr>
      <w:bookmarkStart w:id="29" w:name="_Ref209964690"/>
      <w:bookmarkStart w:id="30" w:name="_Toc228276362"/>
      <w:r>
        <w:t xml:space="preserve">Figure </w:t>
      </w:r>
      <w:fldSimple w:instr=" SEQ Figure \* ARABIC ">
        <w:r w:rsidR="00E4045C">
          <w:rPr>
            <w:noProof/>
          </w:rPr>
          <w:t>3</w:t>
        </w:r>
      </w:fldSimple>
      <w:bookmarkEnd w:id="29"/>
      <w:r>
        <w:t xml:space="preserve"> </w:t>
      </w:r>
      <w:r w:rsidRPr="00753EEB">
        <w:t>Domestic freight by transport mode—</w:t>
      </w:r>
      <w:r>
        <w:t>non-</w:t>
      </w:r>
      <w:r w:rsidRPr="00753EEB">
        <w:t>bulk</w:t>
      </w:r>
      <w:bookmarkEnd w:id="30"/>
    </w:p>
    <w:p w14:paraId="4D7A7E83" w14:textId="248D07AF" w:rsidR="008F3BDB" w:rsidRDefault="00755269">
      <w:pPr>
        <w:rPr>
          <w:rFonts w:asciiTheme="majorHAnsi" w:eastAsiaTheme="majorEastAsia" w:hAnsiTheme="majorHAnsi" w:cstheme="majorBidi"/>
          <w:color w:val="404040" w:themeColor="text1" w:themeTint="BF"/>
          <w:sz w:val="28"/>
          <w:szCs w:val="28"/>
        </w:rPr>
      </w:pPr>
      <w:r>
        <w:rPr>
          <w:rFonts w:asciiTheme="majorHAnsi" w:eastAsiaTheme="majorEastAsia" w:hAnsiTheme="majorHAnsi" w:cstheme="majorBidi"/>
          <w:noProof/>
          <w:color w:val="404040" w:themeColor="text1" w:themeTint="BF"/>
          <w:sz w:val="28"/>
          <w:szCs w:val="28"/>
        </w:rPr>
        <w:drawing>
          <wp:inline distT="0" distB="0" distL="0" distR="0" wp14:anchorId="3A4D7A1A" wp14:editId="76A6F1FC">
            <wp:extent cx="6230620" cy="2933700"/>
            <wp:effectExtent l="0" t="0" r="0" b="0"/>
            <wp:docPr id="1702833586" name="Picture 4" descr="Stacked bar chart showing non-bulk freight transport activity in billion tonne-kilometres from 2014–15 to 2024–25. The chart includes three transport modes:&#10;Road (bottom): Dominates non-bulk freight, increasing from under 130 billion tonne-km to 160 billion tonne-km.&#10;Rail: Consistently around 31–32 billion tonne-km throughout the period.&#10;Coastal shipping (top): Adds roughly 7–9 billion tonne-km, with minor fluctuations.&#10;Overall non-bulk freight increases from 167 billion tonne-km, to 200 billion tonne-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33586" name="Picture 4" descr="Stacked bar chart showing non-bulk freight transport activity in billion tonne-kilometres from 2014–15 to 2024–25. The chart includes three transport modes:&#10;Road (bottom): Dominates non-bulk freight, increasing from under 130 billion tonne-km to 160 billion tonne-km.&#10;Rail: Consistently around 31–32 billion tonne-km throughout the period.&#10;Coastal shipping (top): Adds roughly 7–9 billion tonne-km, with minor fluctuations.&#10;Overall non-bulk freight increases from 167 billion tonne-km, to 200 billion tonne-k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30620" cy="2933700"/>
                    </a:xfrm>
                    <a:prstGeom prst="rect">
                      <a:avLst/>
                    </a:prstGeom>
                    <a:noFill/>
                  </pic:spPr>
                </pic:pic>
              </a:graphicData>
            </a:graphic>
          </wp:inline>
        </w:drawing>
      </w:r>
    </w:p>
    <w:p w14:paraId="3FFBF058" w14:textId="04618D99" w:rsidR="00614A9E" w:rsidRDefault="005673BD" w:rsidP="0024408C">
      <w:pPr>
        <w:pStyle w:val="Sourcenotes"/>
        <w:rPr>
          <w:rFonts w:asciiTheme="majorHAnsi" w:eastAsiaTheme="majorEastAsia" w:hAnsiTheme="majorHAnsi" w:cstheme="majorBidi"/>
          <w:color w:val="404040" w:themeColor="text1" w:themeTint="BF"/>
          <w:sz w:val="28"/>
          <w:szCs w:val="28"/>
        </w:rPr>
      </w:pPr>
      <w:r>
        <w:rPr>
          <w:lang w:val="en-AU"/>
        </w:rPr>
        <w:t xml:space="preserve">Source: </w:t>
      </w:r>
      <w:r w:rsidRPr="00232765">
        <w:rPr>
          <w:lang w:val="en-AU"/>
        </w:rPr>
        <w:t xml:space="preserve">BITRE, 2025, </w:t>
      </w:r>
      <w:hyperlink r:id="rId48" w:history="1">
        <w:r w:rsidRPr="00461CA9">
          <w:rPr>
            <w:rStyle w:val="Hyperlink"/>
            <w:lang w:val="en-AU"/>
          </w:rPr>
          <w:t>Australian Infrastructure and Transport Statistics Yearbook 202</w:t>
        </w:r>
        <w:r w:rsidR="00AE74FD" w:rsidRPr="00461CA9">
          <w:rPr>
            <w:rStyle w:val="Hyperlink"/>
            <w:lang w:val="en-AU"/>
          </w:rPr>
          <w:t>5</w:t>
        </w:r>
      </w:hyperlink>
      <w:r>
        <w:rPr>
          <w:lang w:val="en-AU"/>
        </w:rPr>
        <w:t>.</w:t>
      </w:r>
      <w:r w:rsidR="00614A9E">
        <w:br w:type="page"/>
      </w:r>
    </w:p>
    <w:p w14:paraId="362C4EA6" w14:textId="4E5678E5" w:rsidR="00B92C0C" w:rsidRDefault="00B92C0C" w:rsidP="00B92C0C">
      <w:pPr>
        <w:pStyle w:val="Heading2"/>
      </w:pPr>
      <w:bookmarkStart w:id="31" w:name="_Toc228276356"/>
      <w:r w:rsidRPr="00B92C0C">
        <w:lastRenderedPageBreak/>
        <w:t>Decarbonising the freight and supply chain sector</w:t>
      </w:r>
      <w:bookmarkEnd w:id="31"/>
    </w:p>
    <w:p w14:paraId="3394EB61" w14:textId="6668C8CC" w:rsidR="009602E7" w:rsidRPr="0028346E" w:rsidRDefault="0028346E" w:rsidP="009602E7">
      <w:pPr>
        <w:pStyle w:val="Box2Heading"/>
        <w:rPr>
          <w:lang w:val="en-AU"/>
        </w:rPr>
      </w:pPr>
      <w:r>
        <w:rPr>
          <w:noProof/>
        </w:rPr>
        <w:drawing>
          <wp:anchor distT="0" distB="0" distL="114300" distR="114300" simplePos="0" relativeHeight="251658240" behindDoc="0" locked="0" layoutInCell="1" allowOverlap="1" wp14:anchorId="4B9D9727" wp14:editId="57099EF5">
            <wp:simplePos x="0" y="0"/>
            <wp:positionH relativeFrom="column">
              <wp:posOffset>-635</wp:posOffset>
            </wp:positionH>
            <wp:positionV relativeFrom="paragraph">
              <wp:posOffset>67945</wp:posOffset>
            </wp:positionV>
            <wp:extent cx="820800" cy="820800"/>
            <wp:effectExtent l="0" t="0" r="0" b="0"/>
            <wp:wrapSquare wrapText="bothSides"/>
            <wp:docPr id="21" name="officeArt objec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fficeArt object">
                      <a:extLst>
                        <a:ext uri="{C183D7F6-B498-43B3-948B-1728B52AA6E4}">
                          <adec:decorative xmlns:adec="http://schemas.microsoft.com/office/drawing/2017/decorative" val="1"/>
                        </a:ext>
                      </a:extLst>
                    </pic:cNvPr>
                    <pic:cNvPicPr/>
                  </pic:nvPicPr>
                  <pic:blipFill rotWithShape="1">
                    <a:blip r:embed="rId49">
                      <a:extLst>
                        <a:ext uri="{28A0092B-C50C-407E-A947-70E740481C1C}">
                          <a14:useLocalDpi xmlns:a14="http://schemas.microsoft.com/office/drawing/2010/main" val="0"/>
                        </a:ext>
                      </a:extLst>
                    </a:blip>
                    <a:srcRect l="-1" t="-39" r="-1" b="-39"/>
                    <a:stretch/>
                  </pic:blipFill>
                  <pic:spPr bwMode="auto">
                    <a:xfrm>
                      <a:off x="0" y="0"/>
                      <a:ext cx="820800" cy="8208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2E7">
        <w:t>Goal</w:t>
      </w:r>
      <w:r>
        <w:rPr>
          <w:lang w:val="en-AU"/>
        </w:rPr>
        <w:t xml:space="preserve"> </w:t>
      </w:r>
    </w:p>
    <w:p w14:paraId="50898A11" w14:textId="370473AF" w:rsidR="00470955" w:rsidRDefault="00470955" w:rsidP="00470955">
      <w:pPr>
        <w:pStyle w:val="Box2Text"/>
      </w:pPr>
      <w:r>
        <w:t>The freight and logistics sector is informed and actively involved with governments in developing the pathway to achieving net zero emissions for freight.</w:t>
      </w:r>
    </w:p>
    <w:p w14:paraId="03961C2E" w14:textId="4AA0EE41" w:rsidR="009602E7" w:rsidRPr="009602E7" w:rsidRDefault="009602E7" w:rsidP="009602E7">
      <w:pPr>
        <w:pStyle w:val="Box1Text"/>
      </w:pPr>
      <w:r w:rsidRPr="007F7497">
        <w:rPr>
          <w:b/>
          <w:bCs/>
        </w:rPr>
        <w:t>Measure:</w:t>
      </w:r>
      <w:r w:rsidRPr="009602E7">
        <w:t xml:space="preserve"> Emissions per tonne km per mode (including overall total, bulk and non-bulk).</w:t>
      </w:r>
    </w:p>
    <w:p w14:paraId="55C1C3E7" w14:textId="37EF254E" w:rsidR="000F127F" w:rsidRDefault="00011D99" w:rsidP="000F127F">
      <w:r>
        <w:t xml:space="preserve">Full </w:t>
      </w:r>
      <w:r w:rsidRPr="00DF3B96">
        <w:t>fuel cycle greenhouse gas (carbon dioxide equivalent) emissions</w:t>
      </w:r>
      <w:r w:rsidR="00945FBB">
        <w:t xml:space="preserve"> </w:t>
      </w:r>
      <w:r w:rsidR="00B94355">
        <w:t xml:space="preserve">have been used for this measure </w:t>
      </w:r>
      <w:r w:rsidR="00FE78F5">
        <w:t>which</w:t>
      </w:r>
      <w:r w:rsidR="00B94355">
        <w:t xml:space="preserve"> </w:t>
      </w:r>
      <w:r w:rsidR="00945FBB">
        <w:t>include</w:t>
      </w:r>
      <w:r w:rsidR="00FE78F5">
        <w:t>s</w:t>
      </w:r>
      <w:r w:rsidR="00945FBB">
        <w:t xml:space="preserve"> indirect emissions from energy generation and the transport</w:t>
      </w:r>
      <w:r w:rsidR="00DF7CE1">
        <w:t>ation</w:t>
      </w:r>
      <w:r w:rsidR="00945FBB">
        <w:t xml:space="preserve"> of fuels.</w:t>
      </w:r>
      <w:r>
        <w:t xml:space="preserve"> </w:t>
      </w:r>
      <w:r w:rsidR="00167438">
        <w:t>As a result</w:t>
      </w:r>
      <w:r w:rsidR="00167438" w:rsidRPr="00495C32">
        <w:t>, t</w:t>
      </w:r>
      <w:r w:rsidR="009B2FFB" w:rsidRPr="00495C32">
        <w:t xml:space="preserve">his </w:t>
      </w:r>
      <w:r w:rsidR="00167438" w:rsidRPr="00495C32">
        <w:t>estimate</w:t>
      </w:r>
      <w:r w:rsidR="00167438">
        <w:t xml:space="preserve"> </w:t>
      </w:r>
      <w:r w:rsidR="009B2FFB">
        <w:t>is higher than freight’s contribution to the whole</w:t>
      </w:r>
      <w:r w:rsidR="00167438">
        <w:t>-</w:t>
      </w:r>
      <w:r w:rsidR="009B2FFB">
        <w:t>of</w:t>
      </w:r>
      <w:r w:rsidR="00167438">
        <w:t>-</w:t>
      </w:r>
      <w:r w:rsidR="009A5B69">
        <w:t>economy</w:t>
      </w:r>
      <w:r w:rsidR="009B2FFB">
        <w:t xml:space="preserve"> figure</w:t>
      </w:r>
      <w:r w:rsidR="00167438">
        <w:t>,</w:t>
      </w:r>
      <w:r w:rsidR="009B2FFB">
        <w:t xml:space="preserve"> </w:t>
      </w:r>
      <w:r w:rsidR="00167438">
        <w:t>where emissions from</w:t>
      </w:r>
      <w:r w:rsidR="009B2FFB">
        <w:t xml:space="preserve"> energy generation and fuel transport</w:t>
      </w:r>
      <w:r w:rsidR="00EB00D1">
        <w:t>ation</w:t>
      </w:r>
      <w:r w:rsidR="009B2FFB">
        <w:t xml:space="preserve"> </w:t>
      </w:r>
      <w:r w:rsidR="00167438">
        <w:t>are</w:t>
      </w:r>
      <w:r w:rsidR="009B2FFB">
        <w:t xml:space="preserve"> allocated to the energy industry </w:t>
      </w:r>
      <w:r w:rsidR="00167438">
        <w:t>rather than freight</w:t>
      </w:r>
      <w:r w:rsidR="009B2FFB">
        <w:t xml:space="preserve">. </w:t>
      </w:r>
      <w:r>
        <w:t>Freight transport</w:t>
      </w:r>
      <w:r w:rsidR="00945FBB">
        <w:t xml:space="preserve"> emissions by mode are shown in </w:t>
      </w:r>
      <w:r>
        <w:fldChar w:fldCharType="begin"/>
      </w:r>
      <w:r>
        <w:instrText xml:space="preserve"> REF _Ref205991940 \h </w:instrText>
      </w:r>
      <w:r>
        <w:fldChar w:fldCharType="separate"/>
      </w:r>
      <w:r w:rsidR="00E4045C">
        <w:t xml:space="preserve">Figure </w:t>
      </w:r>
      <w:r w:rsidR="00E4045C">
        <w:rPr>
          <w:noProof/>
        </w:rPr>
        <w:t>4</w:t>
      </w:r>
      <w:r>
        <w:fldChar w:fldCharType="end"/>
      </w:r>
      <w:r w:rsidR="00945FBB">
        <w:t>.</w:t>
      </w:r>
    </w:p>
    <w:p w14:paraId="17C21BE3" w14:textId="49EDF0E2" w:rsidR="00DA2DD1" w:rsidRDefault="00DA2DD1" w:rsidP="00DA2DD1">
      <w:pPr>
        <w:pStyle w:val="Caption"/>
        <w:keepNext/>
      </w:pPr>
      <w:bookmarkStart w:id="32" w:name="_Ref205991940"/>
      <w:bookmarkStart w:id="33" w:name="_Toc228276363"/>
      <w:r>
        <w:t xml:space="preserve">Figure </w:t>
      </w:r>
      <w:fldSimple w:instr=" SEQ Figure \* ARABIC ">
        <w:r w:rsidR="00E4045C">
          <w:rPr>
            <w:noProof/>
          </w:rPr>
          <w:t>4</w:t>
        </w:r>
      </w:fldSimple>
      <w:bookmarkEnd w:id="32"/>
      <w:r>
        <w:t xml:space="preserve"> </w:t>
      </w:r>
      <w:bookmarkStart w:id="34" w:name="_Hlk206056987"/>
      <w:r w:rsidR="000F127F">
        <w:t>F</w:t>
      </w:r>
      <w:r w:rsidR="000F127F" w:rsidRPr="00DF3B96">
        <w:t>reight transport full fuel cycle greenhouse gas (carbon dioxide equivalent) emissions, by transport mode</w:t>
      </w:r>
      <w:bookmarkEnd w:id="33"/>
      <w:bookmarkEnd w:id="34"/>
    </w:p>
    <w:p w14:paraId="3F87ABC9" w14:textId="516C8649" w:rsidR="00452585" w:rsidRDefault="00755269" w:rsidP="006A652F">
      <w:r>
        <w:rPr>
          <w:noProof/>
        </w:rPr>
        <w:drawing>
          <wp:inline distT="0" distB="0" distL="0" distR="0" wp14:anchorId="06C48DF6" wp14:editId="7CB7B90A">
            <wp:extent cx="6273165" cy="2809875"/>
            <wp:effectExtent l="0" t="0" r="0" b="9525"/>
            <wp:docPr id="603297862" name="Picture 5" descr="Stacked bar chart showing full fuel cycle greenhouse gas (C02 equivalent) emissions for freight transport in Megatonnes from 2014–15 to 2024–25. The chart includes four transport modes:&#10;Road (bottom): Road is the largest contributor, starting around 31.8 Megatonnes C02e in 2014–15 and rises to about 38.1 Megatonnes C02e by 2024–25.&#10;Rail: Rail increases slightly starting around 4.4 Megatonnes C02e in 2014–15 and gradually rises to about 4.7 Megatonnes C02e by 2024–25.&#10;Coastal shipping: Decreases slightly from 0.9 Megatonnes C02e in 2014–15 falling to about 0.8 Megatonnes C02e by 2024–25.&#10;Air freight (top): Decreases from 0.5 Megatonnes C02e in 2014–15 falling to about 0.4 Megatonnes C02e by 2024–25.&#10;Overall emissions grows steadily from around 37.5 Megatonnes C02e in 2014–15 and gradually rises to about 43.9 Megatonnes C02e by 2024–25, with road showing the most substantial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97862" name="Picture 5" descr="Stacked bar chart showing full fuel cycle greenhouse gas (C02 equivalent) emissions for freight transport in Megatonnes from 2014–15 to 2024–25. The chart includes four transport modes:&#10;Road (bottom): Road is the largest contributor, starting around 31.8 Megatonnes C02e in 2014–15 and rises to about 38.1 Megatonnes C02e by 2024–25.&#10;Rail: Rail increases slightly starting around 4.4 Megatonnes C02e in 2014–15 and gradually rises to about 4.7 Megatonnes C02e by 2024–25.&#10;Coastal shipping: Decreases slightly from 0.9 Megatonnes C02e in 2014–15 falling to about 0.8 Megatonnes C02e by 2024–25.&#10;Air freight (top): Decreases from 0.5 Megatonnes C02e in 2014–15 falling to about 0.4 Megatonnes C02e by 2024–25.&#10;Overall emissions grows steadily from around 37.5 Megatonnes C02e in 2014–15 and gradually rises to about 43.9 Megatonnes C02e by 2024–25, with road showing the most substantial growt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73165" cy="2809875"/>
                    </a:xfrm>
                    <a:prstGeom prst="rect">
                      <a:avLst/>
                    </a:prstGeom>
                    <a:noFill/>
                  </pic:spPr>
                </pic:pic>
              </a:graphicData>
            </a:graphic>
          </wp:inline>
        </w:drawing>
      </w:r>
    </w:p>
    <w:p w14:paraId="3EA4993D" w14:textId="052E9615" w:rsidR="005673BD" w:rsidRPr="00232765" w:rsidRDefault="005673BD" w:rsidP="005673BD">
      <w:pPr>
        <w:pStyle w:val="Sourcenotes"/>
        <w:rPr>
          <w:lang w:val="en-AU"/>
        </w:rPr>
      </w:pPr>
      <w:r>
        <w:rPr>
          <w:lang w:val="en-AU"/>
        </w:rPr>
        <w:t xml:space="preserve">Source: </w:t>
      </w:r>
      <w:r w:rsidRPr="00232765">
        <w:rPr>
          <w:lang w:val="en-AU"/>
        </w:rPr>
        <w:t xml:space="preserve">BITRE, 2025, </w:t>
      </w:r>
      <w:hyperlink r:id="rId51" w:history="1">
        <w:r w:rsidRPr="00461CA9">
          <w:rPr>
            <w:rStyle w:val="Hyperlink"/>
            <w:lang w:val="en-AU"/>
          </w:rPr>
          <w:t>Australian Infrastructure and Transport Statistics Yearbook 202</w:t>
        </w:r>
        <w:r w:rsidR="00AE74FD" w:rsidRPr="00461CA9">
          <w:rPr>
            <w:rStyle w:val="Hyperlink"/>
            <w:lang w:val="en-AU"/>
          </w:rPr>
          <w:t>5</w:t>
        </w:r>
      </w:hyperlink>
      <w:r w:rsidR="009B4CED">
        <w:rPr>
          <w:lang w:val="en-AU"/>
        </w:rPr>
        <w:t xml:space="preserve">, </w:t>
      </w:r>
      <w:r w:rsidR="009B4CED">
        <w:t>BITRE website</w:t>
      </w:r>
      <w:r>
        <w:rPr>
          <w:lang w:val="en-AU"/>
        </w:rPr>
        <w:t>.</w:t>
      </w:r>
    </w:p>
    <w:p w14:paraId="4D2AD291" w14:textId="643DFE12" w:rsidR="002725E7" w:rsidRDefault="002725E7" w:rsidP="00E64076">
      <w:pPr>
        <w:pStyle w:val="Sourcenotes"/>
      </w:pPr>
      <w:r>
        <w:t>Note</w:t>
      </w:r>
      <w:r w:rsidR="00E64076">
        <w:rPr>
          <w:lang w:val="en-AU"/>
        </w:rPr>
        <w:t>s</w:t>
      </w:r>
      <w:r>
        <w:t xml:space="preserve">: </w:t>
      </w:r>
      <w:r w:rsidR="00E64076">
        <w:t>Figure</w:t>
      </w:r>
      <w:r w:rsidR="00526EFB">
        <w:t>s</w:t>
      </w:r>
      <w:r w:rsidR="00E64076">
        <w:t xml:space="preserve"> </w:t>
      </w:r>
      <w:r w:rsidR="007913D8">
        <w:rPr>
          <w:lang w:val="en-AU"/>
        </w:rPr>
        <w:t>4</w:t>
      </w:r>
      <w:r w:rsidR="00526EFB">
        <w:rPr>
          <w:lang w:val="en-AU"/>
        </w:rPr>
        <w:t>, 5 and 6</w:t>
      </w:r>
      <w:r w:rsidR="00E64076">
        <w:t xml:space="preserve"> refer to full fuel cycle emission estimates for the civil domestic freight transport sector (Scope 1, 2 and 3 emissions from energy supply), in contrast to transport sector values in the Australian National Greenhouse Accounts for energy end-use (Scope 1 emissions) by domestic transport. </w:t>
      </w:r>
      <w:r>
        <w:t xml:space="preserve">Domestic maritime </w:t>
      </w:r>
      <w:r w:rsidRPr="002725E7">
        <w:t>exclud</w:t>
      </w:r>
      <w:r>
        <w:t>es</w:t>
      </w:r>
      <w:r w:rsidRPr="002725E7">
        <w:t xml:space="preserve"> small pleasure craft</w:t>
      </w:r>
      <w:r>
        <w:t>.</w:t>
      </w:r>
    </w:p>
    <w:p w14:paraId="39DD977F" w14:textId="453F6E0C" w:rsidR="0024408C" w:rsidRDefault="003416B6" w:rsidP="001456F6">
      <w:r>
        <w:t xml:space="preserve">Total emissions have grown by </w:t>
      </w:r>
      <w:r w:rsidR="00A4704A">
        <w:t>17</w:t>
      </w:r>
      <w:r>
        <w:t xml:space="preserve">% </w:t>
      </w:r>
      <w:r w:rsidR="0095247F">
        <w:t>since 2014-15</w:t>
      </w:r>
      <w:r w:rsidR="00C81BB0">
        <w:t>. While the growth is</w:t>
      </w:r>
      <w:r w:rsidR="0048022E">
        <w:t xml:space="preserve"> broadly in line with the </w:t>
      </w:r>
      <w:r w:rsidR="0023479B">
        <w:t xml:space="preserve">current </w:t>
      </w:r>
      <w:r w:rsidR="0048022E">
        <w:t xml:space="preserve">increasing freight task, </w:t>
      </w:r>
      <w:r w:rsidR="00B17FF6">
        <w:t>the rate of growth</w:t>
      </w:r>
      <w:r w:rsidR="0048022E">
        <w:t xml:space="preserve"> </w:t>
      </w:r>
      <w:r w:rsidR="00B17FF6">
        <w:t xml:space="preserve">is </w:t>
      </w:r>
      <w:r w:rsidR="0048022E">
        <w:t xml:space="preserve">less than the </w:t>
      </w:r>
      <w:r w:rsidR="00B30689">
        <w:t xml:space="preserve">previous </w:t>
      </w:r>
      <w:r w:rsidR="00D34D76">
        <w:t>two</w:t>
      </w:r>
      <w:r w:rsidR="00B30689">
        <w:t xml:space="preserve"> decades</w:t>
      </w:r>
      <w:r w:rsidR="00B17FF6">
        <w:t xml:space="preserve"> as emissions intensity falls</w:t>
      </w:r>
      <w:r w:rsidR="00B30689">
        <w:t xml:space="preserve">. The increase in emissions is largely driven by </w:t>
      </w:r>
      <w:r w:rsidR="00B17FF6">
        <w:t xml:space="preserve">growth in the </w:t>
      </w:r>
      <w:r w:rsidR="00B30689">
        <w:t>road</w:t>
      </w:r>
      <w:r w:rsidR="00B17FF6">
        <w:t xml:space="preserve"> sector as they have greater mode share and higher emissions rate</w:t>
      </w:r>
      <w:r w:rsidR="001456F6">
        <w:t>. A</w:t>
      </w:r>
      <w:r w:rsidR="00F1399A">
        <w:t>viation has the lowest total emissions</w:t>
      </w:r>
      <w:r w:rsidR="001456F6">
        <w:t xml:space="preserve"> due to the small amount of freight carried by air</w:t>
      </w:r>
      <w:r w:rsidR="00F1399A">
        <w:t xml:space="preserve">, </w:t>
      </w:r>
      <w:r w:rsidR="001456F6">
        <w:t xml:space="preserve">but </w:t>
      </w:r>
      <w:r w:rsidR="00F1399A">
        <w:t>the sector has the highest emi</w:t>
      </w:r>
      <w:r w:rsidR="00F1399A" w:rsidRPr="00F1399A">
        <w:t>ssions rate in grams CO</w:t>
      </w:r>
      <w:r w:rsidR="00F1399A" w:rsidRPr="00F1399A">
        <w:rPr>
          <w:vertAlign w:val="subscript"/>
        </w:rPr>
        <w:t>2</w:t>
      </w:r>
      <w:r w:rsidR="00F1399A" w:rsidRPr="00F1399A">
        <w:t>–e per tonne</w:t>
      </w:r>
      <w:r w:rsidR="00F1399A">
        <w:t xml:space="preserve"> kilometre</w:t>
      </w:r>
      <w:r w:rsidR="00DA3203">
        <w:rPr>
          <w:rStyle w:val="FootnoteReference"/>
        </w:rPr>
        <w:footnoteReference w:id="4"/>
      </w:r>
      <w:r w:rsidR="00F1399A">
        <w:t>.</w:t>
      </w:r>
      <w:r w:rsidR="0023479B">
        <w:t xml:space="preserve"> </w:t>
      </w:r>
    </w:p>
    <w:p w14:paraId="2D6DA6B1" w14:textId="77777777" w:rsidR="0024408C" w:rsidRDefault="0024408C">
      <w:r>
        <w:br w:type="page"/>
      </w:r>
    </w:p>
    <w:p w14:paraId="3FE1B4DC" w14:textId="1F764AE8" w:rsidR="00D112AA" w:rsidRDefault="00646737" w:rsidP="00D112AA">
      <w:r>
        <w:lastRenderedPageBreak/>
        <w:t xml:space="preserve">Emissions </w:t>
      </w:r>
      <w:r w:rsidR="00B17FF6">
        <w:t>intensity</w:t>
      </w:r>
      <w:r>
        <w:rPr>
          <w:rStyle w:val="FootnoteReference"/>
        </w:rPr>
        <w:footnoteReference w:id="5"/>
      </w:r>
      <w:r w:rsidR="00B17FF6">
        <w:t xml:space="preserve"> tells us whether emissions are falling for each unit of freight transported</w:t>
      </w:r>
      <w:r>
        <w:t>, as total emissions may continue rise as the freight task increases, even though the freight industry i</w:t>
      </w:r>
      <w:r w:rsidR="001C00A9">
        <w:t>s</w:t>
      </w:r>
      <w:r>
        <w:t xml:space="preserve"> becoming more carbon efficient. </w:t>
      </w:r>
      <w:r w:rsidR="001C00A9">
        <w:t xml:space="preserve">Bulk rail and coastal shipping have the lowest emissions intensity, followed by non-bulk rail while </w:t>
      </w:r>
      <w:r w:rsidR="00495C32">
        <w:t>r</w:t>
      </w:r>
      <w:r w:rsidR="001C00A9">
        <w:t>oad</w:t>
      </w:r>
      <w:r w:rsidR="001C00A9">
        <w:rPr>
          <w:rStyle w:val="FootnoteReference"/>
        </w:rPr>
        <w:footnoteReference w:id="6"/>
      </w:r>
      <w:r w:rsidR="001C00A9">
        <w:t xml:space="preserve"> has the highest emissions intensity. </w:t>
      </w:r>
      <w:r w:rsidR="003F2E39">
        <w:t xml:space="preserve">The emissions intensity has decreased over the last decade </w:t>
      </w:r>
      <w:r w:rsidR="00AA717A">
        <w:t>for coastal shipping non-bulk (12.8%), road (4.2</w:t>
      </w:r>
      <w:r w:rsidR="003F2E39">
        <w:t>%</w:t>
      </w:r>
      <w:r w:rsidR="00AA717A">
        <w:t>) and bulk rail (3.0%). There is no change in the other modes.</w:t>
      </w:r>
      <w:r w:rsidR="003F2E39">
        <w:t xml:space="preserve">  </w:t>
      </w:r>
    </w:p>
    <w:p w14:paraId="4D985E45" w14:textId="1BF5D425" w:rsidR="007461CF" w:rsidRDefault="007461CF" w:rsidP="007461CF">
      <w:pPr>
        <w:pStyle w:val="Caption"/>
        <w:keepNext/>
      </w:pPr>
      <w:bookmarkStart w:id="35" w:name="_Ref219904105"/>
      <w:bookmarkStart w:id="36" w:name="_Ref219903997"/>
      <w:bookmarkStart w:id="37" w:name="_Toc228276364"/>
      <w:bookmarkStart w:id="38" w:name="_Hlk203403731"/>
      <w:r>
        <w:t xml:space="preserve">Figure </w:t>
      </w:r>
      <w:fldSimple w:instr=" SEQ Figure \* ARABIC ">
        <w:r w:rsidR="00E4045C">
          <w:rPr>
            <w:noProof/>
          </w:rPr>
          <w:t>5</w:t>
        </w:r>
      </w:fldSimple>
      <w:bookmarkEnd w:id="35"/>
      <w:r>
        <w:t xml:space="preserve"> </w:t>
      </w:r>
      <w:r w:rsidR="00B17D87">
        <w:t xml:space="preserve">Emissions intensity </w:t>
      </w:r>
      <w:r w:rsidR="00461CA9">
        <w:t xml:space="preserve">by transport mode </w:t>
      </w:r>
      <w:r w:rsidR="00B17D87">
        <w:t>2024-25</w:t>
      </w:r>
      <w:bookmarkEnd w:id="36"/>
      <w:bookmarkEnd w:id="37"/>
    </w:p>
    <w:p w14:paraId="50533E81" w14:textId="12989193" w:rsidR="00DD1325" w:rsidRDefault="00461CA9" w:rsidP="007461CF">
      <w:pPr>
        <w:keepNext/>
      </w:pPr>
      <w:r>
        <w:rPr>
          <w:noProof/>
        </w:rPr>
        <w:drawing>
          <wp:inline distT="0" distB="0" distL="0" distR="0" wp14:anchorId="49013F0C" wp14:editId="0F4FBDBD">
            <wp:extent cx="6224270" cy="3176270"/>
            <wp:effectExtent l="0" t="0" r="5080" b="5080"/>
            <wp:docPr id="1877515534" name="Picture 3" descr="Bar chart showing the emissions intensity for each mode in 2024-25. Coastal shipping bulk and non-bulk and rail bulk are  all around 9 tonnes of CO2 per million tonne kilometres. Rail non-bulk is at 33 tonnes of CO2 per million tonne kilometres. Road is at 150 tonnes of CO2 per million tonne kilo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15534" name="Picture 3" descr="Bar chart showing the emissions intensity for each mode in 2024-25. Coastal shipping bulk and non-bulk and rail bulk are  all around 9 tonnes of CO2 per million tonne kilometres. Rail non-bulk is at 33 tonnes of CO2 per million tonne kilometres. Road is at 150 tonnes of CO2 per million tonne kilometr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24270" cy="3176270"/>
                    </a:xfrm>
                    <a:prstGeom prst="rect">
                      <a:avLst/>
                    </a:prstGeom>
                    <a:noFill/>
                  </pic:spPr>
                </pic:pic>
              </a:graphicData>
            </a:graphic>
          </wp:inline>
        </w:drawing>
      </w:r>
    </w:p>
    <w:p w14:paraId="244E935C" w14:textId="116E2B96" w:rsidR="009602E7" w:rsidRDefault="005D49E8" w:rsidP="005D49E8">
      <w:pPr>
        <w:pStyle w:val="Sourcenotes"/>
        <w:rPr>
          <w:rFonts w:asciiTheme="majorHAnsi" w:eastAsiaTheme="majorEastAsia" w:hAnsiTheme="majorHAnsi" w:cstheme="majorBidi"/>
          <w:color w:val="404040" w:themeColor="text1" w:themeTint="BF"/>
          <w:sz w:val="28"/>
          <w:szCs w:val="28"/>
        </w:rPr>
      </w:pPr>
      <w:r>
        <w:t xml:space="preserve">Source: </w:t>
      </w:r>
      <w:r w:rsidR="00B17D87">
        <w:t xml:space="preserve">Analysis of </w:t>
      </w:r>
      <w:r w:rsidRPr="00232765">
        <w:t xml:space="preserve">BITRE, 2025, </w:t>
      </w:r>
      <w:hyperlink r:id="rId53" w:history="1">
        <w:r w:rsidRPr="00461CA9">
          <w:rPr>
            <w:rStyle w:val="Hyperlink"/>
          </w:rPr>
          <w:t>Australian Infrastructure and Transport Statistics Yearbook 2025</w:t>
        </w:r>
      </w:hyperlink>
      <w:r w:rsidR="009B4CED">
        <w:t>,</w:t>
      </w:r>
      <w:r w:rsidR="009B4CED" w:rsidRPr="009B4CED">
        <w:t xml:space="preserve"> </w:t>
      </w:r>
      <w:r w:rsidR="009B4CED">
        <w:t>BITRE website</w:t>
      </w:r>
      <w:r>
        <w:t>.</w:t>
      </w:r>
      <w:r w:rsidR="009602E7">
        <w:br w:type="page"/>
      </w:r>
    </w:p>
    <w:p w14:paraId="079C98D5" w14:textId="407003CD" w:rsidR="00470955" w:rsidRDefault="00470955" w:rsidP="00470955">
      <w:pPr>
        <w:pStyle w:val="Heading2"/>
      </w:pPr>
      <w:bookmarkStart w:id="39" w:name="_Toc228276357"/>
      <w:r w:rsidRPr="00470955">
        <w:lastRenderedPageBreak/>
        <w:t>Improved efficiency, productivity and international competitiveness</w:t>
      </w:r>
      <w:bookmarkEnd w:id="39"/>
    </w:p>
    <w:p w14:paraId="39F1BAD2" w14:textId="1D6EB5D6" w:rsidR="00EF5509" w:rsidRPr="00EF5509" w:rsidRDefault="0028346E" w:rsidP="00EF5509">
      <w:pPr>
        <w:pStyle w:val="Box2Heading"/>
      </w:pPr>
      <w:r>
        <w:rPr>
          <w:noProof/>
        </w:rPr>
        <w:drawing>
          <wp:anchor distT="0" distB="0" distL="114300" distR="114300" simplePos="0" relativeHeight="251658241" behindDoc="0" locked="0" layoutInCell="1" allowOverlap="1" wp14:anchorId="3B429940" wp14:editId="1D34D0A3">
            <wp:simplePos x="0" y="0"/>
            <wp:positionH relativeFrom="column">
              <wp:posOffset>-635</wp:posOffset>
            </wp:positionH>
            <wp:positionV relativeFrom="paragraph">
              <wp:posOffset>287020</wp:posOffset>
            </wp:positionV>
            <wp:extent cx="820800" cy="820800"/>
            <wp:effectExtent l="0" t="0" r="0" b="0"/>
            <wp:wrapSquare wrapText="bothSides"/>
            <wp:docPr id="23" name="officeArt objec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fficeArt object">
                      <a:extLst>
                        <a:ext uri="{C183D7F6-B498-43B3-948B-1728B52AA6E4}">
                          <adec:decorative xmlns:adec="http://schemas.microsoft.com/office/drawing/2017/decorative" val="1"/>
                        </a:ext>
                      </a:extLst>
                    </pic:cNvPr>
                    <pic:cNvPicPr/>
                  </pic:nvPicPr>
                  <pic:blipFill rotWithShape="1">
                    <a:blip r:embed="rId54">
                      <a:extLst>
                        <a:ext uri="{28A0092B-C50C-407E-A947-70E740481C1C}">
                          <a14:useLocalDpi xmlns:a14="http://schemas.microsoft.com/office/drawing/2010/main" val="0"/>
                        </a:ext>
                      </a:extLst>
                    </a:blip>
                    <a:srcRect l="-1" t="-39" r="-1" b="-39"/>
                    <a:stretch/>
                  </pic:blipFill>
                  <pic:spPr bwMode="auto">
                    <a:xfrm>
                      <a:off x="0" y="0"/>
                      <a:ext cx="820800" cy="8208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5509">
        <w:t>Goal</w:t>
      </w:r>
    </w:p>
    <w:p w14:paraId="7748C1EA" w14:textId="3807739E" w:rsidR="00EF5509" w:rsidRDefault="009921C2" w:rsidP="009921C2">
      <w:pPr>
        <w:pStyle w:val="Box2Text"/>
      </w:pPr>
      <w:r>
        <w:t>Freight precincts, rail, maritime and air connections are planned, efficient and reliable. Industry is provided with greater certainty for future freight infrastructure investments. Industry uses new technologies to improve productivity across the freight task and strengthen Australia’s international trade.</w:t>
      </w:r>
    </w:p>
    <w:bookmarkEnd w:id="38"/>
    <w:p w14:paraId="2B2BCDC8" w14:textId="03C1E6D8" w:rsidR="00EF5509" w:rsidRDefault="00144A68" w:rsidP="00144A68">
      <w:pPr>
        <w:pStyle w:val="Box1Text"/>
      </w:pPr>
      <w:r>
        <w:t xml:space="preserve">Measure: </w:t>
      </w:r>
      <w:r w:rsidR="004C6F09">
        <w:rPr>
          <w:lang w:val="en-AU"/>
        </w:rPr>
        <w:t xml:space="preserve">Benchmark </w:t>
      </w:r>
      <w:r>
        <w:t>Australia’s international freight performance using the World Bank’s Logistics Performance Indicator (LPI).</w:t>
      </w:r>
    </w:p>
    <w:p w14:paraId="7E3AAC11" w14:textId="66C1A3DE" w:rsidR="00DD72A0" w:rsidRDefault="00E42286" w:rsidP="00E42286">
      <w:r>
        <w:fldChar w:fldCharType="begin"/>
      </w:r>
      <w:r>
        <w:instrText xml:space="preserve"> REF _Ref207006133 \h </w:instrText>
      </w:r>
      <w:r>
        <w:fldChar w:fldCharType="separate"/>
      </w:r>
      <w:r w:rsidR="00E4045C">
        <w:t xml:space="preserve">Figure </w:t>
      </w:r>
      <w:r w:rsidR="00E4045C">
        <w:rPr>
          <w:noProof/>
        </w:rPr>
        <w:t>6</w:t>
      </w:r>
      <w:r>
        <w:fldChar w:fldCharType="end"/>
      </w:r>
      <w:r>
        <w:t xml:space="preserve"> shows Australia's results on the World Bank's Logistics Performance Index (LPI) compared to </w:t>
      </w:r>
      <w:r w:rsidR="00E01559">
        <w:t xml:space="preserve">similar </w:t>
      </w:r>
      <w:r>
        <w:t>countries</w:t>
      </w:r>
      <w:r w:rsidR="00E01559">
        <w:t xml:space="preserve"> and to the 2023 leading country, Singapore</w:t>
      </w:r>
      <w:r>
        <w:t xml:space="preserve">. The LPI is a benchmarking tool intended to help countries measure and improve their </w:t>
      </w:r>
      <w:r w:rsidR="00077A1F">
        <w:t xml:space="preserve">logistics </w:t>
      </w:r>
      <w:r>
        <w:t>performance</w:t>
      </w:r>
      <w:r w:rsidR="00077A1F">
        <w:t xml:space="preserve">, such as the quality of logistics services, trade- and transport-related infrastructure, and border controls. </w:t>
      </w:r>
      <w:r w:rsidR="00DD72A0">
        <w:t xml:space="preserve">As a global survey, it allows us to compare Australia’s </w:t>
      </w:r>
      <w:r w:rsidR="008209E3">
        <w:t>international competitiveness</w:t>
      </w:r>
      <w:r w:rsidR="00DD72A0">
        <w:t xml:space="preserve"> against similar countries</w:t>
      </w:r>
      <w:r w:rsidR="008209E3">
        <w:t>.</w:t>
      </w:r>
    </w:p>
    <w:p w14:paraId="74D2B290" w14:textId="0018D5DD" w:rsidR="00E60A7F" w:rsidRDefault="00E42286" w:rsidP="00E42286">
      <w:r>
        <w:t xml:space="preserve">The overall </w:t>
      </w:r>
      <w:r w:rsidRPr="00D17AFE">
        <w:t xml:space="preserve">index is an aggregation of six measures </w:t>
      </w:r>
      <w:r w:rsidR="005155D3">
        <w:t xml:space="preserve">(see </w:t>
      </w:r>
      <w:r w:rsidR="005155D3">
        <w:fldChar w:fldCharType="begin"/>
      </w:r>
      <w:r w:rsidR="005155D3">
        <w:instrText xml:space="preserve"> REF _Ref207007240 \h </w:instrText>
      </w:r>
      <w:r w:rsidR="005155D3">
        <w:fldChar w:fldCharType="separate"/>
      </w:r>
      <w:r w:rsidR="00E4045C">
        <w:t xml:space="preserve">Figure </w:t>
      </w:r>
      <w:r w:rsidR="00E4045C">
        <w:rPr>
          <w:noProof/>
        </w:rPr>
        <w:t>7</w:t>
      </w:r>
      <w:r w:rsidR="005155D3">
        <w:fldChar w:fldCharType="end"/>
      </w:r>
      <w:r w:rsidR="005155D3">
        <w:t>)</w:t>
      </w:r>
      <w:r w:rsidRPr="00D17AFE">
        <w:t xml:space="preserve"> obtained from a worldwide survey of international logistics operators. </w:t>
      </w:r>
      <w:r w:rsidR="007173F8">
        <w:t xml:space="preserve">The measures are calculated by asking operators </w:t>
      </w:r>
      <w:r w:rsidR="00A96B2A">
        <w:t xml:space="preserve">to rate on a </w:t>
      </w:r>
      <w:proofErr w:type="gramStart"/>
      <w:r w:rsidR="00A96B2A">
        <w:t>5 point</w:t>
      </w:r>
      <w:proofErr w:type="gramEnd"/>
      <w:r w:rsidR="00A96B2A">
        <w:t xml:space="preserve"> scale how they feel countries perform on </w:t>
      </w:r>
      <w:r w:rsidR="007173F8">
        <w:t>each aspect</w:t>
      </w:r>
      <w:r w:rsidR="00A96B2A">
        <w:t>. Each operator is asked to rate their own country and a selection of others.</w:t>
      </w:r>
      <w:r w:rsidR="007173F8">
        <w:t xml:space="preserve"> </w:t>
      </w:r>
    </w:p>
    <w:p w14:paraId="532EB832" w14:textId="12D82B20" w:rsidR="00E60A7F" w:rsidRDefault="00E60A7F" w:rsidP="00E60A7F">
      <w:pPr>
        <w:pStyle w:val="ListParagraph"/>
        <w:numPr>
          <w:ilvl w:val="0"/>
          <w:numId w:val="38"/>
        </w:numPr>
      </w:pPr>
      <w:r>
        <w:t xml:space="preserve">The efficiency of </w:t>
      </w:r>
      <w:r w:rsidRPr="00E60A7F">
        <w:rPr>
          <w:i/>
          <w:iCs/>
        </w:rPr>
        <w:t>Customs</w:t>
      </w:r>
      <w:r>
        <w:t xml:space="preserve"> and border management clearance.</w:t>
      </w:r>
    </w:p>
    <w:p w14:paraId="425D437C" w14:textId="3924097B" w:rsidR="00E60A7F" w:rsidRDefault="00E60A7F" w:rsidP="00E60A7F">
      <w:pPr>
        <w:pStyle w:val="ListParagraph"/>
        <w:numPr>
          <w:ilvl w:val="0"/>
          <w:numId w:val="38"/>
        </w:numPr>
      </w:pPr>
      <w:r>
        <w:t xml:space="preserve">The quality of trade- and transport-related </w:t>
      </w:r>
      <w:r>
        <w:rPr>
          <w:i/>
          <w:iCs/>
        </w:rPr>
        <w:t>I</w:t>
      </w:r>
      <w:r w:rsidRPr="00E60A7F">
        <w:rPr>
          <w:i/>
          <w:iCs/>
        </w:rPr>
        <w:t>nfrastructure</w:t>
      </w:r>
      <w:r>
        <w:t>.</w:t>
      </w:r>
    </w:p>
    <w:p w14:paraId="12B2863C" w14:textId="4B982B03" w:rsidR="00E60A7F" w:rsidRDefault="00E60A7F" w:rsidP="00E60A7F">
      <w:pPr>
        <w:pStyle w:val="ListParagraph"/>
        <w:numPr>
          <w:ilvl w:val="0"/>
          <w:numId w:val="38"/>
        </w:numPr>
      </w:pPr>
      <w:r>
        <w:t xml:space="preserve">The ease of arranging competitively priced </w:t>
      </w:r>
      <w:proofErr w:type="gramStart"/>
      <w:r w:rsidRPr="00E60A7F">
        <w:rPr>
          <w:i/>
          <w:iCs/>
        </w:rPr>
        <w:t>International</w:t>
      </w:r>
      <w:proofErr w:type="gramEnd"/>
      <w:r w:rsidRPr="00E60A7F">
        <w:rPr>
          <w:i/>
          <w:iCs/>
        </w:rPr>
        <w:t xml:space="preserve"> shipments</w:t>
      </w:r>
      <w:r>
        <w:t>.</w:t>
      </w:r>
    </w:p>
    <w:p w14:paraId="65D46856" w14:textId="015A01A6" w:rsidR="00E60A7F" w:rsidRDefault="00E60A7F" w:rsidP="00E60A7F">
      <w:pPr>
        <w:pStyle w:val="ListParagraph"/>
        <w:numPr>
          <w:ilvl w:val="0"/>
          <w:numId w:val="38"/>
        </w:numPr>
      </w:pPr>
      <w:r>
        <w:t xml:space="preserve">The </w:t>
      </w:r>
      <w:r>
        <w:rPr>
          <w:i/>
          <w:iCs/>
        </w:rPr>
        <w:t>C</w:t>
      </w:r>
      <w:r w:rsidRPr="00E60A7F">
        <w:rPr>
          <w:i/>
          <w:iCs/>
        </w:rPr>
        <w:t>ompetence and quality of logistics</w:t>
      </w:r>
      <w:r>
        <w:t xml:space="preserve"> services.</w:t>
      </w:r>
    </w:p>
    <w:p w14:paraId="3BBA031A" w14:textId="47C24F00" w:rsidR="00E60A7F" w:rsidRDefault="00E60A7F" w:rsidP="00E60A7F">
      <w:pPr>
        <w:pStyle w:val="ListParagraph"/>
        <w:numPr>
          <w:ilvl w:val="0"/>
          <w:numId w:val="38"/>
        </w:numPr>
      </w:pPr>
      <w:r>
        <w:t xml:space="preserve">The ability to </w:t>
      </w:r>
      <w:r w:rsidRPr="00E60A7F">
        <w:rPr>
          <w:i/>
          <w:iCs/>
        </w:rPr>
        <w:t>Track and trace</w:t>
      </w:r>
      <w:r>
        <w:t xml:space="preserve"> consignments.</w:t>
      </w:r>
    </w:p>
    <w:p w14:paraId="2D5AC175" w14:textId="26A82F34" w:rsidR="00E60A7F" w:rsidRDefault="00E60A7F" w:rsidP="00E60A7F">
      <w:pPr>
        <w:pStyle w:val="ListParagraph"/>
        <w:numPr>
          <w:ilvl w:val="0"/>
          <w:numId w:val="38"/>
        </w:numPr>
      </w:pPr>
      <w:r>
        <w:t>The frequency with which shipments reach consignees within the scheduled or expected delivery time (</w:t>
      </w:r>
      <w:r>
        <w:rPr>
          <w:i/>
          <w:iCs/>
        </w:rPr>
        <w:t>Timeliness)</w:t>
      </w:r>
      <w:r>
        <w:t>.</w:t>
      </w:r>
    </w:p>
    <w:p w14:paraId="0608B99C" w14:textId="548E62D9" w:rsidR="008209E3" w:rsidRDefault="00E42286" w:rsidP="00E42286">
      <w:r w:rsidRPr="00D17AFE">
        <w:t>In 2023</w:t>
      </w:r>
      <w:r w:rsidR="004C6F09">
        <w:t>,</w:t>
      </w:r>
      <w:r w:rsidRPr="00D17AFE">
        <w:t xml:space="preserve"> Australia</w:t>
      </w:r>
      <w:r w:rsidR="004C6F09">
        <w:t xml:space="preserve">’s LPI score (3.7) </w:t>
      </w:r>
      <w:proofErr w:type="gramStart"/>
      <w:r w:rsidR="004C6F09">
        <w:t>lagged behind</w:t>
      </w:r>
      <w:proofErr w:type="gramEnd"/>
      <w:r w:rsidR="004C6F09">
        <w:t xml:space="preserve"> Canada (4.0), Singapore (4.3) and the United States of America (USA) (3.8</w:t>
      </w:r>
      <w:r w:rsidR="00077A1F">
        <w:t>) and</w:t>
      </w:r>
      <w:r w:rsidR="004C6F09">
        <w:t xml:space="preserve"> </w:t>
      </w:r>
      <w:r w:rsidR="008209E3">
        <w:t>equalled</w:t>
      </w:r>
      <w:r w:rsidR="004C6F09">
        <w:t xml:space="preserve"> </w:t>
      </w:r>
      <w:r w:rsidRPr="00D17AFE">
        <w:t>the United Kingdom</w:t>
      </w:r>
      <w:r w:rsidR="004C6F09">
        <w:t xml:space="preserve"> (3.7)</w:t>
      </w:r>
      <w:r>
        <w:t xml:space="preserve">. Singapore </w:t>
      </w:r>
      <w:r w:rsidR="008209E3">
        <w:t>wa</w:t>
      </w:r>
      <w:r>
        <w:t>s the highest ranked country in 2023, while Australia and the United Kingdom tied on 19</w:t>
      </w:r>
      <w:r w:rsidRPr="004C6F09">
        <w:rPr>
          <w:vertAlign w:val="superscript"/>
        </w:rPr>
        <w:t>th</w:t>
      </w:r>
      <w:r w:rsidR="007173F8">
        <w:t xml:space="preserve"> out of 139 countries.</w:t>
      </w:r>
      <w:r w:rsidR="004C6F09">
        <w:t xml:space="preserve"> </w:t>
      </w:r>
    </w:p>
    <w:p w14:paraId="220F0696" w14:textId="50A1A623" w:rsidR="00E42286" w:rsidRDefault="004C6F09" w:rsidP="00E42286">
      <w:r>
        <w:t xml:space="preserve">Australia performed best on the </w:t>
      </w:r>
      <w:r w:rsidRPr="00077A1F">
        <w:rPr>
          <w:i/>
          <w:iCs/>
        </w:rPr>
        <w:t>Infrastructure</w:t>
      </w:r>
      <w:r>
        <w:t xml:space="preserve"> </w:t>
      </w:r>
      <w:r w:rsidR="00AD5A59">
        <w:t xml:space="preserve">and </w:t>
      </w:r>
      <w:r w:rsidR="00AD5A59" w:rsidRPr="00077A1F">
        <w:rPr>
          <w:i/>
          <w:iCs/>
        </w:rPr>
        <w:t>Tracking and tracing</w:t>
      </w:r>
      <w:r w:rsidR="00AD5A59">
        <w:t xml:space="preserve"> score</w:t>
      </w:r>
      <w:r w:rsidR="00077A1F">
        <w:t>s</w:t>
      </w:r>
      <w:r w:rsidR="00AD5A59">
        <w:t>, both 4.1</w:t>
      </w:r>
      <w:r w:rsidR="00077A1F">
        <w:t xml:space="preserve">. The </w:t>
      </w:r>
      <w:proofErr w:type="gramStart"/>
      <w:r w:rsidR="00077A1F">
        <w:rPr>
          <w:i/>
          <w:iCs/>
        </w:rPr>
        <w:t>Infrastructure</w:t>
      </w:r>
      <w:proofErr w:type="gramEnd"/>
      <w:r w:rsidR="00077A1F">
        <w:rPr>
          <w:i/>
          <w:iCs/>
        </w:rPr>
        <w:t xml:space="preserve"> </w:t>
      </w:r>
      <w:r w:rsidR="00077A1F">
        <w:t>score was still</w:t>
      </w:r>
      <w:r w:rsidR="00AD5A59">
        <w:t xml:space="preserve"> lower than </w:t>
      </w:r>
      <w:r>
        <w:t xml:space="preserve">Canada </w:t>
      </w:r>
      <w:r w:rsidR="00AD5A59">
        <w:t xml:space="preserve">(4.3) </w:t>
      </w:r>
      <w:r>
        <w:t>and Singapore</w:t>
      </w:r>
      <w:r w:rsidR="00AD5A59">
        <w:t xml:space="preserve"> (4.6).</w:t>
      </w:r>
      <w:r w:rsidR="00925198">
        <w:t xml:space="preserve"> </w:t>
      </w:r>
      <w:r w:rsidR="00AD5A59">
        <w:t xml:space="preserve">The </w:t>
      </w:r>
      <w:r w:rsidR="00AD5A59" w:rsidRPr="00077A1F">
        <w:rPr>
          <w:i/>
          <w:iCs/>
        </w:rPr>
        <w:t>Tracking and tracing</w:t>
      </w:r>
      <w:r w:rsidR="00925198" w:rsidRPr="00925198">
        <w:t xml:space="preserve"> score </w:t>
      </w:r>
      <w:r w:rsidR="00077A1F">
        <w:t>trailed</w:t>
      </w:r>
      <w:r w:rsidR="00925198" w:rsidRPr="00925198">
        <w:t xml:space="preserve"> Singapore </w:t>
      </w:r>
      <w:r w:rsidR="00AD5A59">
        <w:t>(4.4),</w:t>
      </w:r>
      <w:r w:rsidR="00925198" w:rsidRPr="00925198">
        <w:t xml:space="preserve"> the United States </w:t>
      </w:r>
      <w:r w:rsidR="00AD5A59">
        <w:t xml:space="preserve">(4.2) </w:t>
      </w:r>
      <w:r w:rsidR="00925198" w:rsidRPr="00925198">
        <w:t xml:space="preserve">and </w:t>
      </w:r>
      <w:r w:rsidR="00077A1F" w:rsidRPr="00925198">
        <w:t>equal</w:t>
      </w:r>
      <w:r w:rsidR="00077A1F">
        <w:t>led</w:t>
      </w:r>
      <w:r w:rsidR="00925198" w:rsidRPr="00925198">
        <w:t xml:space="preserve"> Canada</w:t>
      </w:r>
      <w:r w:rsidR="00AD5A59">
        <w:t xml:space="preserve"> (4.1)</w:t>
      </w:r>
      <w:r w:rsidR="00457A1C">
        <w:t>.</w:t>
      </w:r>
      <w:r w:rsidR="00925198" w:rsidRPr="00925198">
        <w:t xml:space="preserve"> </w:t>
      </w:r>
      <w:r w:rsidR="00C765ED">
        <w:t xml:space="preserve">Australia’s </w:t>
      </w:r>
      <w:r w:rsidR="00925198" w:rsidRPr="00077A1F">
        <w:rPr>
          <w:i/>
          <w:iCs/>
        </w:rPr>
        <w:t>Timeliness</w:t>
      </w:r>
      <w:r w:rsidR="00C765ED">
        <w:t xml:space="preserve"> and </w:t>
      </w:r>
      <w:r w:rsidR="00C765ED" w:rsidRPr="00077A1F">
        <w:rPr>
          <w:i/>
          <w:iCs/>
        </w:rPr>
        <w:t>International shipments</w:t>
      </w:r>
      <w:r w:rsidR="00C765ED">
        <w:t xml:space="preserve"> scores</w:t>
      </w:r>
      <w:r>
        <w:t xml:space="preserve"> </w:t>
      </w:r>
      <w:r w:rsidR="00C765ED">
        <w:t xml:space="preserve">were the lowest of all the comparator countries, including New Zealand. </w:t>
      </w:r>
      <w:r w:rsidR="00E42286">
        <w:t xml:space="preserve"> </w:t>
      </w:r>
    </w:p>
    <w:p w14:paraId="009D40E2" w14:textId="3A33E987" w:rsidR="00DA2DD1" w:rsidRDefault="00DA2DD1" w:rsidP="00DA2DD1">
      <w:pPr>
        <w:pStyle w:val="Caption"/>
        <w:keepNext/>
      </w:pPr>
      <w:bookmarkStart w:id="40" w:name="_Ref207006133"/>
      <w:bookmarkStart w:id="41" w:name="_Toc228276365"/>
      <w:r>
        <w:lastRenderedPageBreak/>
        <w:t xml:space="preserve">Figure </w:t>
      </w:r>
      <w:fldSimple w:instr=" SEQ Figure \* ARABIC ">
        <w:r w:rsidR="00E4045C">
          <w:rPr>
            <w:noProof/>
          </w:rPr>
          <w:t>6</w:t>
        </w:r>
      </w:fldSimple>
      <w:bookmarkEnd w:id="40"/>
      <w:r>
        <w:t xml:space="preserve"> </w:t>
      </w:r>
      <w:r w:rsidR="00E42286">
        <w:t>World Bank Logistics P</w:t>
      </w:r>
      <w:r w:rsidR="00502F17">
        <w:t>erformance</w:t>
      </w:r>
      <w:r w:rsidR="00E42286">
        <w:t xml:space="preserve"> Index</w:t>
      </w:r>
      <w:bookmarkEnd w:id="41"/>
    </w:p>
    <w:p w14:paraId="7C64FA34" w14:textId="1110B005" w:rsidR="00F0293C" w:rsidRDefault="00925198" w:rsidP="00F0293C">
      <w:r>
        <w:rPr>
          <w:noProof/>
        </w:rPr>
        <w:drawing>
          <wp:inline distT="0" distB="0" distL="0" distR="0" wp14:anchorId="483D6025" wp14:editId="6A52979E">
            <wp:extent cx="6305550" cy="2876550"/>
            <wp:effectExtent l="0" t="0" r="0" b="0"/>
            <wp:docPr id="1668633363" name="Chart 1" descr="Grouped bar chart showing Logistics Performance Index (LPI) scores (scale 1 = low, 5 = high) for six countries across four years: 2014, 2016, 2018, and 2023.&#10;Australia: declines from 3.8 in 2014 to 3.7 in 2023.&#10;Canada: Fluctuates with 3.7 the lowest in 2018 and 4.0 the highest in 2023.&#10;New Zealand: Ranges from about 3.4 in 2016 to 3.9 in 2018.&#10;Singapore: Highest scores overall, around 4.0 in 2014 and 2018, peaking at 4.3 in 2023.&#10;United Kingdom: Around 4.0 in 2014–2018, falls to about 3.7 in 2023.&#10;United States: Between 3.9 and 4.0 2014-2018, slight decline to 3.8 in 2023.">
              <a:extLst xmlns:a="http://schemas.openxmlformats.org/drawingml/2006/main">
                <a:ext uri="{FF2B5EF4-FFF2-40B4-BE49-F238E27FC236}">
                  <a16:creationId xmlns:a16="http://schemas.microsoft.com/office/drawing/2014/main" id="{3FC04678-B36C-A788-6E16-EE59E7DCAA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6D61C66" w14:textId="1A79F330" w:rsidR="00232765" w:rsidRDefault="00232765" w:rsidP="00232765">
      <w:pPr>
        <w:pStyle w:val="Sourcenotes"/>
      </w:pPr>
      <w:r>
        <w:t xml:space="preserve">Source: </w:t>
      </w:r>
      <w:r w:rsidR="005D49E8">
        <w:t xml:space="preserve">World Bank 2023, </w:t>
      </w:r>
      <w:hyperlink r:id="rId56" w:history="1">
        <w:r w:rsidR="005D49E8">
          <w:rPr>
            <w:rStyle w:val="Hyperlink"/>
          </w:rPr>
          <w:t>Logistics Performance Index (LPI)</w:t>
        </w:r>
      </w:hyperlink>
      <w:r w:rsidR="00063EAF">
        <w:t>, World Bank website.</w:t>
      </w:r>
    </w:p>
    <w:p w14:paraId="57D1DE85" w14:textId="050726A0" w:rsidR="00232765" w:rsidRDefault="00232765" w:rsidP="00232765">
      <w:r>
        <w:t xml:space="preserve">Australia's LPI score has declined </w:t>
      </w:r>
      <w:r w:rsidR="009B50AF">
        <w:t xml:space="preserve">gradually </w:t>
      </w:r>
      <w:r>
        <w:t>since 201</w:t>
      </w:r>
      <w:r w:rsidR="009B50AF">
        <w:t>6</w:t>
      </w:r>
      <w:r>
        <w:t xml:space="preserve">. This is largely driven by falls in the ease of arranging competitively priced </w:t>
      </w:r>
      <w:proofErr w:type="gramStart"/>
      <w:r w:rsidR="00E60A7F" w:rsidRPr="00E60A7F">
        <w:rPr>
          <w:i/>
          <w:iCs/>
        </w:rPr>
        <w:t>I</w:t>
      </w:r>
      <w:r w:rsidRPr="00E60A7F">
        <w:rPr>
          <w:i/>
          <w:iCs/>
        </w:rPr>
        <w:t>nternational</w:t>
      </w:r>
      <w:proofErr w:type="gramEnd"/>
      <w:r w:rsidRPr="00E60A7F">
        <w:rPr>
          <w:i/>
          <w:iCs/>
        </w:rPr>
        <w:t xml:space="preserve"> shipments</w:t>
      </w:r>
      <w:r>
        <w:t xml:space="preserve"> since 2016, </w:t>
      </w:r>
      <w:r w:rsidR="00457A1C">
        <w:t>and</w:t>
      </w:r>
      <w:r>
        <w:t xml:space="preserve"> the </w:t>
      </w:r>
      <w:r w:rsidR="00E60A7F" w:rsidRPr="00E60A7F">
        <w:rPr>
          <w:i/>
          <w:iCs/>
        </w:rPr>
        <w:t>T</w:t>
      </w:r>
      <w:r w:rsidR="00457A1C" w:rsidRPr="00E60A7F">
        <w:rPr>
          <w:i/>
          <w:iCs/>
        </w:rPr>
        <w:t>imeliness</w:t>
      </w:r>
      <w:r w:rsidR="00457A1C">
        <w:t xml:space="preserve"> score</w:t>
      </w:r>
      <w:r>
        <w:t xml:space="preserve"> (</w:t>
      </w:r>
      <w:r>
        <w:fldChar w:fldCharType="begin"/>
      </w:r>
      <w:r>
        <w:instrText xml:space="preserve"> REF _Ref207007240 \h </w:instrText>
      </w:r>
      <w:r>
        <w:fldChar w:fldCharType="separate"/>
      </w:r>
      <w:r w:rsidR="00E4045C">
        <w:t xml:space="preserve">Figure </w:t>
      </w:r>
      <w:r w:rsidR="00E4045C">
        <w:rPr>
          <w:noProof/>
        </w:rPr>
        <w:t>7</w:t>
      </w:r>
      <w:r>
        <w:fldChar w:fldCharType="end"/>
      </w:r>
      <w:r>
        <w:t>).</w:t>
      </w:r>
      <w:r w:rsidR="00A96B2A">
        <w:t xml:space="preserve"> Australia’s geographic isolation leads to high international shipping costs. At the time of the latest survey, Australia’s maritime transport costs were at historical highs (see </w:t>
      </w:r>
      <w:r w:rsidR="00A96B2A">
        <w:fldChar w:fldCharType="begin"/>
      </w:r>
      <w:r w:rsidR="00A96B2A">
        <w:instrText xml:space="preserve"> REF _Ref205987010 \h </w:instrText>
      </w:r>
      <w:r w:rsidR="00A96B2A">
        <w:fldChar w:fldCharType="separate"/>
      </w:r>
      <w:r w:rsidR="00E4045C">
        <w:t xml:space="preserve">Figure </w:t>
      </w:r>
      <w:r w:rsidR="00E4045C">
        <w:rPr>
          <w:noProof/>
        </w:rPr>
        <w:t>8</w:t>
      </w:r>
      <w:r w:rsidR="00A96B2A">
        <w:fldChar w:fldCharType="end"/>
      </w:r>
      <w:r w:rsidR="00A96B2A">
        <w:t xml:space="preserve">). Australia also has </w:t>
      </w:r>
      <w:r w:rsidR="002B5A9C">
        <w:t>higher</w:t>
      </w:r>
      <w:r w:rsidR="00A96B2A">
        <w:t xml:space="preserve"> ship turnaround times than other countries</w:t>
      </w:r>
      <w:r w:rsidR="002B5A9C">
        <w:t>, due to fewer cranes in each port, leading to higher costs for operators.</w:t>
      </w:r>
      <w:r w:rsidR="004B0727">
        <w:t xml:space="preserve"> The timeliness of international shipments is subject to increased global disruptions and delays, decreasing maritime schedule reliability. Domestically, shipments are subject to road </w:t>
      </w:r>
      <w:r w:rsidR="004B0727" w:rsidRPr="00495C32">
        <w:t xml:space="preserve">and rail disruptions </w:t>
      </w:r>
      <w:r w:rsidR="00D015D1" w:rsidRPr="00495C32">
        <w:t xml:space="preserve">due to </w:t>
      </w:r>
      <w:r w:rsidR="00AF6C4B" w:rsidRPr="00495C32">
        <w:t>extreme weather</w:t>
      </w:r>
      <w:r w:rsidR="00664526" w:rsidRPr="00495C32">
        <w:t>. T</w:t>
      </w:r>
      <w:r w:rsidR="00D015D1" w:rsidRPr="00495C32">
        <w:t xml:space="preserve">he </w:t>
      </w:r>
      <w:r w:rsidR="00664526" w:rsidRPr="00495C32">
        <w:t xml:space="preserve">latest </w:t>
      </w:r>
      <w:r w:rsidR="00D015D1" w:rsidRPr="00495C32">
        <w:t xml:space="preserve">survey </w:t>
      </w:r>
      <w:r w:rsidR="00664526" w:rsidRPr="00495C32">
        <w:t xml:space="preserve">was </w:t>
      </w:r>
      <w:r w:rsidR="00D015D1" w:rsidRPr="00495C32">
        <w:t xml:space="preserve">conducted </w:t>
      </w:r>
      <w:r w:rsidR="00664526" w:rsidRPr="00495C32">
        <w:t xml:space="preserve">late in 2022, </w:t>
      </w:r>
      <w:r w:rsidR="00AF6C4B" w:rsidRPr="00495C32">
        <w:t>when</w:t>
      </w:r>
      <w:r w:rsidR="00664526" w:rsidRPr="00495C32">
        <w:t xml:space="preserve"> the impacts of significant flooding along the east coast were still being felt</w:t>
      </w:r>
      <w:r w:rsidR="00D015D1" w:rsidRPr="00495C32">
        <w:t>.</w:t>
      </w:r>
      <w:r w:rsidR="00D015D1">
        <w:t xml:space="preserve"> </w:t>
      </w:r>
    </w:p>
    <w:p w14:paraId="47E8E421" w14:textId="32E8580A" w:rsidR="00232765" w:rsidRDefault="00232765" w:rsidP="00232765">
      <w:pPr>
        <w:pStyle w:val="Caption"/>
        <w:keepNext/>
      </w:pPr>
      <w:bookmarkStart w:id="42" w:name="_Ref207007240"/>
      <w:bookmarkStart w:id="43" w:name="_Toc228276366"/>
      <w:r>
        <w:t xml:space="preserve">Figure </w:t>
      </w:r>
      <w:fldSimple w:instr=" SEQ Figure \* ARABIC ">
        <w:r w:rsidR="00E4045C">
          <w:rPr>
            <w:noProof/>
          </w:rPr>
          <w:t>7</w:t>
        </w:r>
      </w:fldSimple>
      <w:bookmarkEnd w:id="42"/>
      <w:r>
        <w:t xml:space="preserve"> Australia's LPI score for each domain</w:t>
      </w:r>
      <w:bookmarkEnd w:id="43"/>
    </w:p>
    <w:p w14:paraId="5FF0EBB2" w14:textId="61434F0B" w:rsidR="00232765" w:rsidRDefault="00502F17" w:rsidP="00232765">
      <w:pPr>
        <w:keepNext/>
      </w:pPr>
      <w:r>
        <w:rPr>
          <w:noProof/>
        </w:rPr>
        <w:drawing>
          <wp:inline distT="0" distB="0" distL="0" distR="0" wp14:anchorId="0E192B35" wp14:editId="3FA469C9">
            <wp:extent cx="6261100" cy="3200400"/>
            <wp:effectExtent l="0" t="0" r="6350" b="0"/>
            <wp:docPr id="1892318641" name="Picture 11" descr="Grouped bar chart showing Logistics Performance Index (LPI) scores (scale 1 = low, 5 = high) for Australia for the six domains across four years: 2014, 2016, 2018, and 2023.&#10;Customs: Varies between 3.5 in 2016 to 3.9 in 2014 and 2018.&#10;Infrastructure: Starts at 4.0 in 2014, falls to 3.8 in 2016 then rises to 4.1 in 2023. Highest domain for Australia.&#10;International shipments: Australia's lowest domain, peaks at 3.6 in 2016 but progressively falls to 3.1 in 2023.&#10;Logistics quality and competence: Fluctuates between 3.7 in 2014 and 2018 and 3.9 in 2016 and 2023.&#10;Tracking and tracing: Stable between 3.8 and 3.9 for 2014-2018, rising to 4.1 in 2023.&#10;Timeliness: Stable at 4.0 2014-2018, falls to 3.6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18641" name="Picture 11" descr="Grouped bar chart showing Logistics Performance Index (LPI) scores (scale 1 = low, 5 = high) for Australia for the six domains across four years: 2014, 2016, 2018, and 2023.&#10;Customs: Varies between 3.5 in 2016 to 3.9 in 2014 and 2018.&#10;Infrastructure: Starts at 4.0 in 2014, falls to 3.8 in 2016 then rises to 4.1 in 2023. Highest domain for Australia.&#10;International shipments: Australia's lowest domain, peaks at 3.6 in 2016 but progressively falls to 3.1 in 2023.&#10;Logistics quality and competence: Fluctuates between 3.7 in 2014 and 2018 and 3.9 in 2016 and 2023.&#10;Tracking and tracing: Stable between 3.8 and 3.9 for 2014-2018, rising to 4.1 in 2023.&#10;Timeliness: Stable at 4.0 2014-2018, falls to 3.6 in 20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61100" cy="3200400"/>
                    </a:xfrm>
                    <a:prstGeom prst="rect">
                      <a:avLst/>
                    </a:prstGeom>
                    <a:noFill/>
                  </pic:spPr>
                </pic:pic>
              </a:graphicData>
            </a:graphic>
          </wp:inline>
        </w:drawing>
      </w:r>
    </w:p>
    <w:p w14:paraId="7CEAA91E" w14:textId="62A09017" w:rsidR="00063EAF" w:rsidRDefault="00063EAF" w:rsidP="00063EAF">
      <w:pPr>
        <w:pStyle w:val="Sourcenotes"/>
      </w:pPr>
      <w:r>
        <w:t xml:space="preserve">Source: World Bank 2023, </w:t>
      </w:r>
      <w:hyperlink r:id="rId58" w:history="1">
        <w:r>
          <w:rPr>
            <w:rStyle w:val="Hyperlink"/>
          </w:rPr>
          <w:t>Logistics Performance Index (LPI)</w:t>
        </w:r>
      </w:hyperlink>
      <w:r>
        <w:t>, World Bank website.</w:t>
      </w:r>
    </w:p>
    <w:p w14:paraId="3D1E5348" w14:textId="6FC94829" w:rsidR="00144A68" w:rsidRPr="00144A68" w:rsidRDefault="00144A68" w:rsidP="00144A68">
      <w:pPr>
        <w:pStyle w:val="Box1Text"/>
        <w:rPr>
          <w:lang w:val="en-AU"/>
        </w:rPr>
      </w:pPr>
      <w:r>
        <w:lastRenderedPageBreak/>
        <w:t xml:space="preserve">Measure: </w:t>
      </w:r>
      <w:r w:rsidRPr="00144A68">
        <w:t>Price indicators of road, rail and maritime freight provided by ABS</w:t>
      </w:r>
      <w:r>
        <w:rPr>
          <w:lang w:val="en-AU"/>
        </w:rPr>
        <w:t>.</w:t>
      </w:r>
    </w:p>
    <w:p w14:paraId="66E15C70" w14:textId="05EB84E0" w:rsidR="003048AE" w:rsidRDefault="000F127F" w:rsidP="003048AE">
      <w:r>
        <w:fldChar w:fldCharType="begin"/>
      </w:r>
      <w:r>
        <w:instrText xml:space="preserve"> REF _Ref205987010 \h </w:instrText>
      </w:r>
      <w:r>
        <w:fldChar w:fldCharType="separate"/>
      </w:r>
      <w:r w:rsidR="00E4045C">
        <w:t xml:space="preserve">Figure </w:t>
      </w:r>
      <w:r w:rsidR="00E4045C">
        <w:rPr>
          <w:noProof/>
        </w:rPr>
        <w:t>8</w:t>
      </w:r>
      <w:r>
        <w:fldChar w:fldCharType="end"/>
      </w:r>
      <w:r w:rsidR="003C3575">
        <w:t xml:space="preserve"> shows the ABS’ Producer </w:t>
      </w:r>
      <w:r w:rsidR="00E97D7B">
        <w:t>P</w:t>
      </w:r>
      <w:r w:rsidR="003C3575">
        <w:t>rice</w:t>
      </w:r>
      <w:r w:rsidR="00E97D7B">
        <w:t xml:space="preserve"> Indexes</w:t>
      </w:r>
      <w:r w:rsidR="003048AE">
        <w:t xml:space="preserve"> (PPIs) </w:t>
      </w:r>
      <w:r w:rsidR="00E97D7B">
        <w:t xml:space="preserve">for road, rail, and </w:t>
      </w:r>
      <w:r w:rsidR="00982AFC">
        <w:t>maritime</w:t>
      </w:r>
      <w:r w:rsidR="003048AE">
        <w:t xml:space="preserve"> freight. The PPIs are a measure of the price to produce items,</w:t>
      </w:r>
      <w:r w:rsidR="00A37BE6">
        <w:t xml:space="preserve"> and</w:t>
      </w:r>
      <w:r w:rsidR="003048AE">
        <w:t xml:space="preserve"> in the freight case, the price to transport goods. The index is relatively stable prior to </w:t>
      </w:r>
      <w:r w:rsidR="00CB17DF">
        <w:t>2021 but</w:t>
      </w:r>
      <w:r w:rsidR="003048AE">
        <w:t xml:space="preserve"> </w:t>
      </w:r>
      <w:r w:rsidR="00B0341B">
        <w:t>has since risen</w:t>
      </w:r>
      <w:r w:rsidR="003048AE">
        <w:t xml:space="preserve">. The </w:t>
      </w:r>
      <w:r w:rsidR="00B0341B">
        <w:t>spike</w:t>
      </w:r>
      <w:r w:rsidR="003048AE">
        <w:t xml:space="preserve"> in </w:t>
      </w:r>
      <w:r w:rsidR="000D0A07">
        <w:t>maritime</w:t>
      </w:r>
      <w:r w:rsidR="003048AE">
        <w:t xml:space="preserve"> freight costs between June 2020 and June 2022</w:t>
      </w:r>
      <w:r w:rsidR="00BD5143">
        <w:t xml:space="preserve"> was</w:t>
      </w:r>
      <w:r w:rsidR="003048AE">
        <w:t xml:space="preserve"> driven by port congestion caused by COVID-19 delays, particularly across Asia and Europe</w:t>
      </w:r>
      <w:r w:rsidR="003048AE">
        <w:rPr>
          <w:rStyle w:val="FootnoteReference"/>
        </w:rPr>
        <w:footnoteReference w:id="7"/>
      </w:r>
      <w:r w:rsidR="003048AE">
        <w:t xml:space="preserve">. Unlike road and rail, </w:t>
      </w:r>
      <w:r w:rsidR="00DE5F8F">
        <w:t>the</w:t>
      </w:r>
      <w:r w:rsidR="00474B86">
        <w:t xml:space="preserve"> </w:t>
      </w:r>
      <w:r w:rsidR="003048AE">
        <w:t xml:space="preserve">prices for maritime freight </w:t>
      </w:r>
      <w:r w:rsidR="00DE5F8F">
        <w:t xml:space="preserve">used here includes Australian use of international </w:t>
      </w:r>
      <w:proofErr w:type="gramStart"/>
      <w:r w:rsidR="00CB17DF">
        <w:t>shipping</w:t>
      </w:r>
      <w:r w:rsidR="00B0341B">
        <w:t>,</w:t>
      </w:r>
      <w:r w:rsidR="00CB17DF">
        <w:t xml:space="preserve"> and</w:t>
      </w:r>
      <w:proofErr w:type="gramEnd"/>
      <w:r w:rsidR="00DE5F8F">
        <w:t xml:space="preserve"> therefore is</w:t>
      </w:r>
      <w:r w:rsidR="003048AE">
        <w:t xml:space="preserve"> influenced by international drivers. Increases in road and rail freight </w:t>
      </w:r>
      <w:r w:rsidR="00E838DA">
        <w:t xml:space="preserve">rates </w:t>
      </w:r>
      <w:r w:rsidR="003048AE">
        <w:t xml:space="preserve">are largely driven by fuel price and wage increases, </w:t>
      </w:r>
      <w:r w:rsidR="00B0341B">
        <w:t>al</w:t>
      </w:r>
      <w:r w:rsidR="003048AE">
        <w:t>though flooding in late 2022 also had an impact</w:t>
      </w:r>
      <w:r w:rsidR="00D02DD9">
        <w:t xml:space="preserve"> on </w:t>
      </w:r>
      <w:proofErr w:type="gramStart"/>
      <w:r w:rsidR="00D02DD9">
        <w:t>particular routes</w:t>
      </w:r>
      <w:proofErr w:type="gramEnd"/>
      <w:r w:rsidR="00E838DA">
        <w:rPr>
          <w:rStyle w:val="FootnoteReference"/>
        </w:rPr>
        <w:footnoteReference w:id="8"/>
      </w:r>
      <w:r w:rsidR="003048AE">
        <w:t>.</w:t>
      </w:r>
    </w:p>
    <w:p w14:paraId="5C4EBBCA" w14:textId="4E572502" w:rsidR="00DA2DD1" w:rsidRDefault="00DA2DD1" w:rsidP="00DA2DD1">
      <w:pPr>
        <w:pStyle w:val="Caption"/>
        <w:keepNext/>
      </w:pPr>
      <w:bookmarkStart w:id="44" w:name="_Ref205987010"/>
      <w:bookmarkStart w:id="45" w:name="_Toc228276367"/>
      <w:bookmarkStart w:id="46" w:name="_Hlk207013831"/>
      <w:r>
        <w:t xml:space="preserve">Figure </w:t>
      </w:r>
      <w:fldSimple w:instr=" SEQ Figure \* ARABIC ">
        <w:r w:rsidR="00E4045C">
          <w:rPr>
            <w:noProof/>
          </w:rPr>
          <w:t>8</w:t>
        </w:r>
      </w:fldSimple>
      <w:bookmarkEnd w:id="44"/>
      <w:r>
        <w:t xml:space="preserve"> Producer Price Indexes</w:t>
      </w:r>
      <w:r w:rsidR="003C3575">
        <w:t>, June quarter 20</w:t>
      </w:r>
      <w:r w:rsidR="00735960">
        <w:t>1</w:t>
      </w:r>
      <w:r w:rsidR="003C3575">
        <w:t>5 to June quarter 2025.</w:t>
      </w:r>
      <w:bookmarkEnd w:id="45"/>
      <w:r w:rsidR="003C3575">
        <w:t xml:space="preserve"> </w:t>
      </w:r>
    </w:p>
    <w:bookmarkEnd w:id="46"/>
    <w:p w14:paraId="0935AC69" w14:textId="551CEEDC" w:rsidR="001A005E" w:rsidRPr="00587B76" w:rsidRDefault="000D0A07" w:rsidP="001A005E">
      <w:pPr>
        <w:pStyle w:val="Bullet1"/>
        <w:numPr>
          <w:ilvl w:val="0"/>
          <w:numId w:val="0"/>
        </w:numPr>
        <w:rPr>
          <w:lang w:val="en-AU"/>
        </w:rPr>
      </w:pPr>
      <w:r w:rsidRPr="000D0A07">
        <w:rPr>
          <w:noProof/>
        </w:rPr>
        <w:t xml:space="preserve"> </w:t>
      </w:r>
      <w:r w:rsidR="00F6336B">
        <w:rPr>
          <w:noProof/>
        </w:rPr>
        <w:drawing>
          <wp:inline distT="0" distB="0" distL="0" distR="0" wp14:anchorId="33062039" wp14:editId="40706125">
            <wp:extent cx="6230620" cy="2804160"/>
            <wp:effectExtent l="0" t="0" r="0" b="0"/>
            <wp:docPr id="1439055760" name="Picture 10" descr="Line chart showing Producer Price Index for three transport modes from June 2014 to June 2025.&#10;Road: Starts near 108 in 2014, rises gradually to about 135 by 2025.&#10;Rail: Begins around 107 in 2014, increases steadily with a small spike in 2017 to reach 147 by 2025.&#10;Maritime: Starts at 101 in 2014, falls to 91 in 2017 rises to 100 in 2019, then surges sharply from 2020, peaking at 288 in 2022, before declining to around 161 by 2025.&#10;Overall, Road and Rail show moderate, steady growth, while Maritime experiences a dramatic spike between 2020 and 2022 followed by a significant 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55760" name="Picture 10" descr="Line chart showing Producer Price Index for three transport modes from June 2014 to June 2025.&#10;Road: Starts near 108 in 2014, rises gradually to about 135 by 2025.&#10;Rail: Begins around 107 in 2014, increases steadily with a small spike in 2017 to reach 147 by 2025.&#10;Maritime: Starts at 101 in 2014, falls to 91 in 2017 rises to 100 in 2019, then surges sharply from 2020, peaking at 288 in 2022, before declining to around 161 by 2025.&#10;Overall, Road and Rail show moderate, steady growth, while Maritime experiences a dramatic spike between 2020 and 2022 followed by a significant dro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30620" cy="2804160"/>
                    </a:xfrm>
                    <a:prstGeom prst="rect">
                      <a:avLst/>
                    </a:prstGeom>
                    <a:noFill/>
                  </pic:spPr>
                </pic:pic>
              </a:graphicData>
            </a:graphic>
          </wp:inline>
        </w:drawing>
      </w:r>
    </w:p>
    <w:p w14:paraId="3877DD45" w14:textId="0D8B60C2" w:rsidR="00E849FF" w:rsidRPr="00D518FC" w:rsidRDefault="00E849FF" w:rsidP="00DC6DC1">
      <w:pPr>
        <w:pStyle w:val="Sourcenotes"/>
        <w:rPr>
          <w:lang w:val="en-AU"/>
        </w:rPr>
      </w:pPr>
      <w:bookmarkStart w:id="47" w:name="_Hlk206575817"/>
      <w:r>
        <w:rPr>
          <w:lang w:val="en-AU"/>
        </w:rPr>
        <w:t xml:space="preserve">Source: </w:t>
      </w:r>
      <w:r w:rsidR="00FE0D33">
        <w:rPr>
          <w:lang w:val="en-AU"/>
        </w:rPr>
        <w:t>ABS</w:t>
      </w:r>
      <w:r w:rsidR="00063EAF">
        <w:rPr>
          <w:lang w:val="en-AU"/>
        </w:rPr>
        <w:t xml:space="preserve"> (Australian Bureau of Statistics)</w:t>
      </w:r>
      <w:r w:rsidR="00FE0D33">
        <w:rPr>
          <w:lang w:val="en-AU"/>
        </w:rPr>
        <w:t xml:space="preserve">, 2025, </w:t>
      </w:r>
      <w:hyperlink r:id="rId60" w:history="1">
        <w:r w:rsidR="00063EAF">
          <w:rPr>
            <w:rStyle w:val="Hyperlink"/>
          </w:rPr>
          <w:t>Producer Price Indexes, Australia, June 2025</w:t>
        </w:r>
      </w:hyperlink>
      <w:r w:rsidR="00063EAF">
        <w:t>, ABS website</w:t>
      </w:r>
      <w:r w:rsidR="00D518FC">
        <w:rPr>
          <w:lang w:val="en-AU"/>
        </w:rPr>
        <w:t>.</w:t>
      </w:r>
    </w:p>
    <w:p w14:paraId="1E17AF3A" w14:textId="77AC961F" w:rsidR="00144A68" w:rsidRDefault="00DC6DC1" w:rsidP="0024408C">
      <w:pPr>
        <w:pStyle w:val="Sourcenotes"/>
        <w:rPr>
          <w:rFonts w:asciiTheme="majorHAnsi" w:eastAsiaTheme="majorEastAsia" w:hAnsiTheme="majorHAnsi" w:cstheme="majorBidi"/>
          <w:color w:val="404040" w:themeColor="text1" w:themeTint="BF"/>
          <w:sz w:val="28"/>
          <w:szCs w:val="28"/>
        </w:rPr>
      </w:pPr>
      <w:r>
        <w:t>Note</w:t>
      </w:r>
      <w:r w:rsidR="00E849FF">
        <w:rPr>
          <w:lang w:val="en-AU"/>
        </w:rPr>
        <w:t>s</w:t>
      </w:r>
      <w:r>
        <w:t xml:space="preserve">: </w:t>
      </w:r>
      <w:r w:rsidR="00D518FC">
        <w:rPr>
          <w:lang w:val="en-AU"/>
        </w:rPr>
        <w:t xml:space="preserve">Data represented is the quarterly result for the reference date. </w:t>
      </w:r>
      <w:r>
        <w:t>Index reference period 2011-12 = 100.0</w:t>
      </w:r>
      <w:bookmarkStart w:id="48" w:name="_Hlk203403785"/>
      <w:bookmarkEnd w:id="47"/>
      <w:r w:rsidR="00144A68">
        <w:br w:type="page"/>
      </w:r>
    </w:p>
    <w:p w14:paraId="01E960F3" w14:textId="15CABF40" w:rsidR="009921C2" w:rsidRDefault="009921C2" w:rsidP="009921C2">
      <w:pPr>
        <w:pStyle w:val="Heading2"/>
      </w:pPr>
      <w:bookmarkStart w:id="49" w:name="_Toc228276358"/>
      <w:r w:rsidRPr="009921C2">
        <w:lastRenderedPageBreak/>
        <w:t>Safe, secure and resilient supply chains</w:t>
      </w:r>
      <w:bookmarkEnd w:id="49"/>
    </w:p>
    <w:p w14:paraId="02C6484E" w14:textId="2697FADF" w:rsidR="0008101D" w:rsidRPr="0008101D" w:rsidRDefault="0028346E" w:rsidP="0008101D">
      <w:pPr>
        <w:pStyle w:val="Box2Heading"/>
      </w:pPr>
      <w:r>
        <w:rPr>
          <w:noProof/>
        </w:rPr>
        <w:drawing>
          <wp:anchor distT="0" distB="0" distL="114300" distR="114300" simplePos="0" relativeHeight="251658242" behindDoc="0" locked="0" layoutInCell="1" allowOverlap="1" wp14:anchorId="2F800219" wp14:editId="21EA85A7">
            <wp:simplePos x="0" y="0"/>
            <wp:positionH relativeFrom="column">
              <wp:posOffset>-635</wp:posOffset>
            </wp:positionH>
            <wp:positionV relativeFrom="paragraph">
              <wp:posOffset>315595</wp:posOffset>
            </wp:positionV>
            <wp:extent cx="819150" cy="819150"/>
            <wp:effectExtent l="0" t="0" r="0" b="0"/>
            <wp:wrapSquare wrapText="bothSides"/>
            <wp:docPr id="24" name="officeArt objec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fficeArt object">
                      <a:extLst>
                        <a:ext uri="{C183D7F6-B498-43B3-948B-1728B52AA6E4}">
                          <adec:decorative xmlns:adec="http://schemas.microsoft.com/office/drawing/2017/decorative" val="1"/>
                        </a:ext>
                      </a:extLst>
                    </pic:cNvPr>
                    <pic:cNvPicPr/>
                  </pic:nvPicPr>
                  <pic:blipFill rotWithShape="1">
                    <a:blip r:embed="rId61">
                      <a:extLst>
                        <a:ext uri="{28A0092B-C50C-407E-A947-70E740481C1C}">
                          <a14:useLocalDpi xmlns:a14="http://schemas.microsoft.com/office/drawing/2010/main" val="0"/>
                        </a:ext>
                      </a:extLst>
                    </a:blip>
                    <a:srcRect l="-1" t="-39" r="-1" b="-39"/>
                    <a:stretch/>
                  </pic:blipFill>
                  <pic:spPr bwMode="auto">
                    <a:xfrm>
                      <a:off x="0" y="0"/>
                      <a:ext cx="819150" cy="81915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101D">
        <w:t>Goal</w:t>
      </w:r>
    </w:p>
    <w:p w14:paraId="4A8FE93D" w14:textId="744305B3" w:rsidR="009921C2" w:rsidRPr="009921C2" w:rsidRDefault="009921C2" w:rsidP="00977F69">
      <w:pPr>
        <w:pStyle w:val="Box2Text"/>
      </w:pPr>
      <w:r>
        <w:t>Australia’s freight networks and supply chains are safe, secure and resilient across all modes. Resilience is an essential consideration when future infrastructure investment is being planned.</w:t>
      </w:r>
    </w:p>
    <w:p w14:paraId="584F807F" w14:textId="1CD246FC" w:rsidR="009921C2" w:rsidRDefault="00144A68" w:rsidP="00144A68">
      <w:pPr>
        <w:pStyle w:val="Box1Text"/>
      </w:pPr>
      <w:r>
        <w:rPr>
          <w:lang w:val="en-AU"/>
        </w:rPr>
        <w:t xml:space="preserve">Measure: </w:t>
      </w:r>
      <w:r w:rsidR="009921C2">
        <w:t>Number of unplanned closures and number of days of unplanned closures on key routes.</w:t>
      </w:r>
    </w:p>
    <w:p w14:paraId="2DA1FC37" w14:textId="1EA86572" w:rsidR="00D55993" w:rsidRDefault="003E5D70" w:rsidP="003E5D70">
      <w:r>
        <w:fldChar w:fldCharType="begin"/>
      </w:r>
      <w:r>
        <w:instrText xml:space="preserve"> REF _Ref213911894 \h </w:instrText>
      </w:r>
      <w:r>
        <w:fldChar w:fldCharType="separate"/>
      </w:r>
      <w:r w:rsidR="00E4045C">
        <w:t xml:space="preserve">Figure </w:t>
      </w:r>
      <w:r w:rsidR="00E4045C">
        <w:rPr>
          <w:noProof/>
        </w:rPr>
        <w:t>9</w:t>
      </w:r>
      <w:r>
        <w:fldChar w:fldCharType="end"/>
      </w:r>
      <w:r>
        <w:t xml:space="preserve"> shows the number of unplanned closures of roads on the National Land Transport network due to fire or flood. </w:t>
      </w:r>
      <w:r w:rsidR="00BD5143">
        <w:t xml:space="preserve">This measure is significantly influenced by the severity and location of the extreme weather season between years. </w:t>
      </w:r>
      <w:r w:rsidR="00D55993">
        <w:t xml:space="preserve">These figures are calculated from publicly available data that is harmonised by the National Freight Data Hub. </w:t>
      </w:r>
      <w:r w:rsidR="00BB0C86">
        <w:t xml:space="preserve">The outage is allocated according to the location of the road that is closed, with </w:t>
      </w:r>
      <w:r w:rsidR="004A4CDF">
        <w:t>the M</w:t>
      </w:r>
      <w:r w:rsidR="00BB0C86">
        <w:t xml:space="preserve">ajor </w:t>
      </w:r>
      <w:r w:rsidR="004A4CDF">
        <w:t>Ci</w:t>
      </w:r>
      <w:r w:rsidR="00BB0C86">
        <w:t xml:space="preserve">ties </w:t>
      </w:r>
      <w:r w:rsidR="004A4CDF">
        <w:t>and Regional categories</w:t>
      </w:r>
      <w:r w:rsidR="00BB0C86">
        <w:t xml:space="preserve"> defined by the ABS’ Remoteness Classification. </w:t>
      </w:r>
      <w:r w:rsidR="00D55993">
        <w:t>Many outages do not have an end time contained within the data set, so the length of time of the outage is not possible to calculate.</w:t>
      </w:r>
      <w:r w:rsidR="00CF0AF2" w:rsidRPr="00CF0AF2">
        <w:t xml:space="preserve"> It is also not </w:t>
      </w:r>
      <w:r w:rsidR="008F3FDC">
        <w:t>possible</w:t>
      </w:r>
      <w:r w:rsidR="00CF0AF2" w:rsidRPr="00CF0AF2">
        <w:t xml:space="preserve"> to exclude disruptions </w:t>
      </w:r>
      <w:r w:rsidR="00EF764F">
        <w:t>where the road is not</w:t>
      </w:r>
      <w:r w:rsidR="00CF0AF2" w:rsidRPr="00CF0AF2">
        <w:t xml:space="preserve"> full</w:t>
      </w:r>
      <w:r w:rsidR="00EF764F">
        <w:t>y</w:t>
      </w:r>
      <w:r w:rsidR="00CF0AF2" w:rsidRPr="00CF0AF2">
        <w:t xml:space="preserve"> clos</w:t>
      </w:r>
      <w:r w:rsidR="00EF764F">
        <w:t>ed</w:t>
      </w:r>
      <w:r w:rsidR="00701523">
        <w:rPr>
          <w:rStyle w:val="FootnoteReference"/>
        </w:rPr>
        <w:footnoteReference w:id="9"/>
      </w:r>
      <w:r w:rsidR="00CF0AF2" w:rsidRPr="00CF0AF2">
        <w:t>.</w:t>
      </w:r>
      <w:r w:rsidR="00D55993">
        <w:t xml:space="preserve"> </w:t>
      </w:r>
    </w:p>
    <w:p w14:paraId="4C290437" w14:textId="236D38E0" w:rsidR="00BB0C86" w:rsidRDefault="004D23B3" w:rsidP="004F1807">
      <w:pPr>
        <w:pStyle w:val="Caption"/>
      </w:pPr>
      <w:bookmarkStart w:id="50" w:name="_Ref213911894"/>
      <w:bookmarkStart w:id="51" w:name="_Toc228276368"/>
      <w:r>
        <w:t xml:space="preserve">Figure </w:t>
      </w:r>
      <w:fldSimple w:instr=" SEQ Figure \* ARABIC ">
        <w:r w:rsidR="00E4045C">
          <w:rPr>
            <w:noProof/>
          </w:rPr>
          <w:t>9</w:t>
        </w:r>
      </w:fldSimple>
      <w:bookmarkEnd w:id="50"/>
      <w:r>
        <w:t xml:space="preserve"> </w:t>
      </w:r>
      <w:r w:rsidR="00AE74FD">
        <w:t>Number of u</w:t>
      </w:r>
      <w:r>
        <w:t xml:space="preserve">nplanned closures of the </w:t>
      </w:r>
      <w:r w:rsidR="00AE74FD">
        <w:t xml:space="preserve">National Land Transport </w:t>
      </w:r>
      <w:r>
        <w:t>road network</w:t>
      </w:r>
      <w:r w:rsidR="00AE74FD">
        <w:t xml:space="preserve"> due to fire or flood </w:t>
      </w:r>
      <w:r w:rsidR="004B0727">
        <w:t xml:space="preserve">2023-24 and </w:t>
      </w:r>
      <w:r w:rsidR="00AE74FD">
        <w:t>2024-25</w:t>
      </w:r>
      <w:bookmarkEnd w:id="51"/>
    </w:p>
    <w:p w14:paraId="24AF7A38" w14:textId="0DC36B6E" w:rsidR="00BB0C86" w:rsidRDefault="001A58DB" w:rsidP="004F1807">
      <w:r>
        <w:rPr>
          <w:noProof/>
        </w:rPr>
        <w:drawing>
          <wp:inline distT="0" distB="0" distL="0" distR="0" wp14:anchorId="2053495F" wp14:editId="7AD835AC">
            <wp:extent cx="6176010" cy="3429000"/>
            <wp:effectExtent l="0" t="0" r="0" b="0"/>
            <wp:docPr id="625199164" name="Picture 1" descr="Bar chart showing unplanned closures for major cities and regional areas across Australia for 2023-24 and 2024-25.&#10;NSW: Both major cities and regional had 16 closures in 2023-24. In 2024-25 major cities had 51 closures, regional had 81 closures.&#10;Victoria: Major cities had 6 closures in 2023-24 falling to 4 in 2024-25. Regional areas had 12 closures falling t 5 in 2024-25.&#10;Queensland: Regional Qld had the most closures at 155 in 2025-25, increasing from 104 in 2023-24. Major cities had 52 closures in 2024-25 up from 12 in 2023-24.&#10;SA: Major cities had one closure in 2024-24 increasing to 4 in 2024-25. Regional areas had 5 closures across both years.&#10;WA: Regional areas had 21 closures in 2023-24 rising to 48 in 2024-25. Major cities had no closures in both years.&#10;Tasmania: No closures in either year.&#10;NT: NT had the highest number of closures in 2023-24 at 163, with 54 in 2024-25.&#10;ACT: No closures in eithe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99164" name="Picture 1" descr="Bar chart showing unplanned closures for major cities and regional areas across Australia for 2023-24 and 2024-25.&#10;NSW: Both major cities and regional had 16 closures in 2023-24. In 2024-25 major cities had 51 closures, regional had 81 closures.&#10;Victoria: Major cities had 6 closures in 2023-24 falling to 4 in 2024-25. Regional areas had 12 closures falling t 5 in 2024-25.&#10;Queensland: Regional Qld had the most closures at 155 in 2025-25, increasing from 104 in 2023-24. Major cities had 52 closures in 2024-25 up from 12 in 2023-24.&#10;SA: Major cities had one closure in 2024-24 increasing to 4 in 2024-25. Regional areas had 5 closures across both years.&#10;WA: Regional areas had 21 closures in 2023-24 rising to 48 in 2024-25. Major cities had no closures in both years.&#10;Tasmania: No closures in either year.&#10;NT: NT had the highest number of closures in 2023-24 at 163, with 54 in 2024-25.&#10;ACT: No closures in either yea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76010" cy="3429000"/>
                    </a:xfrm>
                    <a:prstGeom prst="rect">
                      <a:avLst/>
                    </a:prstGeom>
                    <a:noFill/>
                  </pic:spPr>
                </pic:pic>
              </a:graphicData>
            </a:graphic>
          </wp:inline>
        </w:drawing>
      </w:r>
    </w:p>
    <w:p w14:paraId="6D302433" w14:textId="321A76E8" w:rsidR="00AE74FD" w:rsidRDefault="00AE74FD" w:rsidP="00DB6C4A">
      <w:pPr>
        <w:pStyle w:val="Sourcenotes"/>
      </w:pPr>
      <w:r>
        <w:t xml:space="preserve">Source: BITRE 2025, analysis of </w:t>
      </w:r>
      <w:hyperlink r:id="rId63" w:history="1">
        <w:r w:rsidRPr="00AE74FD">
          <w:rPr>
            <w:rStyle w:val="Hyperlink"/>
          </w:rPr>
          <w:t>Harmonised National Roadworks and Road Closures</w:t>
        </w:r>
      </w:hyperlink>
      <w:r>
        <w:t xml:space="preserve">, National Freight Data Hub. </w:t>
      </w:r>
    </w:p>
    <w:p w14:paraId="71403C06" w14:textId="3551A4E8" w:rsidR="004816CC" w:rsidRDefault="00AE74FD" w:rsidP="00AE74FD">
      <w:pPr>
        <w:pStyle w:val="Sourcenotes"/>
      </w:pPr>
      <w:r>
        <w:t xml:space="preserve">Notes:  </w:t>
      </w:r>
      <w:r w:rsidR="00BB0C86">
        <w:t>Major Cities are</w:t>
      </w:r>
      <w:r>
        <w:t xml:space="preserve"> defined </w:t>
      </w:r>
      <w:r w:rsidR="00BB0C86">
        <w:t>according to</w:t>
      </w:r>
      <w:r>
        <w:t xml:space="preserve"> the ABS Remoteness Classification. Under this classification Darwin</w:t>
      </w:r>
      <w:r w:rsidR="009B2394">
        <w:t xml:space="preserve"> and Hobart</w:t>
      </w:r>
      <w:r>
        <w:t xml:space="preserve"> is considered regional. </w:t>
      </w:r>
    </w:p>
    <w:p w14:paraId="223077F0" w14:textId="22C4E469" w:rsidR="0045116C" w:rsidRDefault="0045116C" w:rsidP="0045116C">
      <w:r>
        <w:t>There were 12 major bushfires and 5 flooding events on mainland Australia in 2024-25</w:t>
      </w:r>
      <w:r>
        <w:rPr>
          <w:rStyle w:val="FootnoteReference"/>
        </w:rPr>
        <w:footnoteReference w:id="10"/>
      </w:r>
      <w:r>
        <w:t>. Queensland bore the brunt of the most severe events with flooding from 3 separate weather events, with flooding due to ex-</w:t>
      </w:r>
      <w:r>
        <w:lastRenderedPageBreak/>
        <w:t xml:space="preserve">Tropical Cyclone Alfred extending into New South Wales. </w:t>
      </w:r>
      <w:r w:rsidR="00681A1A">
        <w:t xml:space="preserve">Weather events in this period have disproportionally affected regional areas, which may have fewer alternative routes. </w:t>
      </w:r>
      <w:r>
        <w:t xml:space="preserve">Tasmania, ACT and Major Cities WA do not have an outage for this period. </w:t>
      </w:r>
    </w:p>
    <w:bookmarkEnd w:id="48"/>
    <w:p w14:paraId="25964145" w14:textId="4ABA9817" w:rsidR="0008101D" w:rsidRPr="0008101D" w:rsidRDefault="0008101D" w:rsidP="00D55993">
      <w:pPr>
        <w:pStyle w:val="Box1Text"/>
        <w:keepNext/>
        <w:rPr>
          <w:lang w:val="en-AU"/>
        </w:rPr>
      </w:pPr>
      <w:r>
        <w:t xml:space="preserve">Measure: </w:t>
      </w:r>
      <w:r w:rsidRPr="0008101D">
        <w:t>Fatalities, injuries and near misses</w:t>
      </w:r>
      <w:r>
        <w:rPr>
          <w:lang w:val="en-AU"/>
        </w:rPr>
        <w:t xml:space="preserve"> – </w:t>
      </w:r>
      <w:r w:rsidRPr="0008101D">
        <w:rPr>
          <w:lang w:val="en-AU"/>
        </w:rPr>
        <w:t>Number of fatalities involving trucks.</w:t>
      </w:r>
    </w:p>
    <w:p w14:paraId="04DAE018" w14:textId="0DA7B4B5" w:rsidR="004D23B3" w:rsidRDefault="004D23B3" w:rsidP="004D23B3">
      <w:r>
        <w:t>Around 18 per cent of all road crash deaths involve a heavy vehicle</w:t>
      </w:r>
      <w:r w:rsidR="00D47A02">
        <w:t>.</w:t>
      </w:r>
      <w:r>
        <w:t xml:space="preserve"> While heavy vehicles crash less often than other vehicles, these crashes are more likely to result in a death or serious injury.</w:t>
      </w:r>
      <w:r w:rsidR="00D47A02">
        <w:t xml:space="preserve"> </w:t>
      </w:r>
      <w:r w:rsidR="00D47A02">
        <w:fldChar w:fldCharType="begin"/>
      </w:r>
      <w:r w:rsidR="00D47A02">
        <w:instrText xml:space="preserve"> REF _Ref207014651 \h </w:instrText>
      </w:r>
      <w:r w:rsidR="00D47A02">
        <w:fldChar w:fldCharType="separate"/>
      </w:r>
      <w:r w:rsidR="00E4045C">
        <w:t xml:space="preserve">Figure </w:t>
      </w:r>
      <w:r w:rsidR="00E4045C">
        <w:rPr>
          <w:noProof/>
        </w:rPr>
        <w:t>10</w:t>
      </w:r>
      <w:r w:rsidR="00D47A02">
        <w:fldChar w:fldCharType="end"/>
      </w:r>
      <w:r w:rsidR="00D47A02">
        <w:t xml:space="preserve"> shows the number of fatalities and fatal crashes from all road crashes that involve a heavy vehicle. </w:t>
      </w:r>
      <w:r w:rsidR="009420A4">
        <w:t xml:space="preserve">While the crashes all involve a truck, there is no information on the cause of the crash or whether the fatality was the driver of the truck or someone else. </w:t>
      </w:r>
      <w:r w:rsidR="00D47A02" w:rsidRPr="00D47A02">
        <w:t>Each</w:t>
      </w:r>
      <w:r w:rsidR="001A5965">
        <w:t xml:space="preserve"> fatal</w:t>
      </w:r>
      <w:r w:rsidR="00D47A02" w:rsidRPr="00D47A02">
        <w:t xml:space="preserve"> crash </w:t>
      </w:r>
      <w:r w:rsidR="008A0AF3">
        <w:t>can result in multiple fatalities at an average of</w:t>
      </w:r>
      <w:r w:rsidR="00D47A02" w:rsidRPr="00D47A02">
        <w:t xml:space="preserve"> 1.1 fatalities </w:t>
      </w:r>
      <w:r w:rsidR="008A0AF3">
        <w:t>per crash</w:t>
      </w:r>
      <w:r w:rsidR="00D47A02" w:rsidRPr="00D47A02">
        <w:t>.</w:t>
      </w:r>
      <w:r w:rsidR="00583EE1">
        <w:t xml:space="preserve"> </w:t>
      </w:r>
      <w:r w:rsidR="009D54BA">
        <w:t xml:space="preserve">There were more </w:t>
      </w:r>
      <w:r w:rsidR="001A5965">
        <w:t xml:space="preserve">fatal </w:t>
      </w:r>
      <w:r w:rsidR="009D54BA">
        <w:t>crashes in 202</w:t>
      </w:r>
      <w:r w:rsidR="00BB0C86">
        <w:t>4</w:t>
      </w:r>
      <w:r w:rsidR="009D54BA">
        <w:t xml:space="preserve">-25 than the previous 10 years, but the number of fatalities were in the mid-range for the decade. </w:t>
      </w:r>
      <w:r w:rsidR="00583EE1">
        <w:t xml:space="preserve">The number of </w:t>
      </w:r>
      <w:r w:rsidR="001A5965">
        <w:t xml:space="preserve">fatal </w:t>
      </w:r>
      <w:r w:rsidR="00583EE1">
        <w:t>crashes and fatalities during the pandemic years of 20</w:t>
      </w:r>
      <w:r w:rsidR="009D54BA">
        <w:t>19-</w:t>
      </w:r>
      <w:r w:rsidR="00583EE1">
        <w:t xml:space="preserve">20 and </w:t>
      </w:r>
      <w:r w:rsidR="009D54BA">
        <w:t>20</w:t>
      </w:r>
      <w:r w:rsidR="00583EE1">
        <w:t>20</w:t>
      </w:r>
      <w:r w:rsidR="009D54BA">
        <w:t>-</w:t>
      </w:r>
      <w:r w:rsidR="00583EE1">
        <w:t xml:space="preserve">21 were lower than the trend, but </w:t>
      </w:r>
      <w:r w:rsidR="00DA5BC0">
        <w:t xml:space="preserve">in 2021-22 </w:t>
      </w:r>
      <w:r w:rsidR="00583EE1">
        <w:t xml:space="preserve">returned to </w:t>
      </w:r>
      <w:r w:rsidR="00DA5BC0">
        <w:t>pre-pandemic levels</w:t>
      </w:r>
      <w:r w:rsidR="00583EE1">
        <w:t>.</w:t>
      </w:r>
    </w:p>
    <w:p w14:paraId="1561CA86" w14:textId="49DA8BB5" w:rsidR="00EC7A6E" w:rsidRDefault="00EC7A6E" w:rsidP="00EC7A6E">
      <w:pPr>
        <w:pStyle w:val="Caption"/>
        <w:keepNext/>
      </w:pPr>
      <w:bookmarkStart w:id="52" w:name="_Ref207014651"/>
      <w:bookmarkStart w:id="53" w:name="_Toc228276369"/>
      <w:bookmarkStart w:id="54" w:name="_Hlk219300715"/>
      <w:r>
        <w:t xml:space="preserve">Figure </w:t>
      </w:r>
      <w:fldSimple w:instr=" SEQ Figure \* ARABIC ">
        <w:r w:rsidR="00E4045C">
          <w:rPr>
            <w:noProof/>
          </w:rPr>
          <w:t>10</w:t>
        </w:r>
      </w:fldSimple>
      <w:bookmarkEnd w:id="52"/>
      <w:r>
        <w:t xml:space="preserve"> C</w:t>
      </w:r>
      <w:r w:rsidRPr="00084422">
        <w:t xml:space="preserve">ount of </w:t>
      </w:r>
      <w:r w:rsidR="001A5965">
        <w:t>fatalities</w:t>
      </w:r>
      <w:r w:rsidRPr="00084422">
        <w:t xml:space="preserve"> </w:t>
      </w:r>
      <w:r w:rsidR="004D23B3">
        <w:t>and</w:t>
      </w:r>
      <w:r w:rsidRPr="00084422">
        <w:t xml:space="preserve"> crashes involving </w:t>
      </w:r>
      <w:r w:rsidR="00E3661D">
        <w:t>trucks</w:t>
      </w:r>
      <w:bookmarkEnd w:id="53"/>
    </w:p>
    <w:p w14:paraId="0E8DF1A6" w14:textId="1748C40E" w:rsidR="000539F6" w:rsidRPr="000539F6" w:rsidRDefault="000539F6" w:rsidP="000539F6">
      <w:r>
        <w:rPr>
          <w:noProof/>
        </w:rPr>
        <w:drawing>
          <wp:inline distT="0" distB="0" distL="0" distR="0" wp14:anchorId="768A0D9D" wp14:editId="4D8700CF">
            <wp:extent cx="6188075" cy="3865245"/>
            <wp:effectExtent l="0" t="0" r="3175" b="1905"/>
            <wp:docPr id="622692090" name="Picture 2" descr="Bar chart showing fatalities and fatal crashes involving a heavy vehicle for each year between 2014-15 and 2024-25. Fatalities varies between 174 and 192 fatalities between 2014-2015 and 2018-19, falling to 156 and 162 for 2019-220 and 2020-21 respectively, then varies between 169 and 187 for 2021-22 to 2024-25.&#10;Crashes varies between 159 and 170 for 2014-2015 to 2018-19, falling to 139 and 149 for 2019-220 and 2020-21 respectively, then varies between 150 and 172 for 2021-22 to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92090" name="Picture 2" descr="Bar chart showing fatalities and fatal crashes involving a heavy vehicle for each year between 2014-15 and 2024-25. Fatalities varies between 174 and 192 fatalities between 2014-2015 and 2018-19, falling to 156 and 162 for 2019-220 and 2020-21 respectively, then varies between 169 and 187 for 2021-22 to 2024-25.&#10;Crashes varies between 159 and 170 for 2014-2015 to 2018-19, falling to 139 and 149 for 2019-220 and 2020-21 respectively, then varies between 150 and 172 for 2021-22 to 2024-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88075" cy="3865245"/>
                    </a:xfrm>
                    <a:prstGeom prst="rect">
                      <a:avLst/>
                    </a:prstGeom>
                    <a:noFill/>
                  </pic:spPr>
                </pic:pic>
              </a:graphicData>
            </a:graphic>
          </wp:inline>
        </w:drawing>
      </w:r>
    </w:p>
    <w:bookmarkEnd w:id="54"/>
    <w:p w14:paraId="671C976B" w14:textId="045A5B36" w:rsidR="00780541" w:rsidRPr="00780541" w:rsidRDefault="005455F3" w:rsidP="000F21F0">
      <w:pPr>
        <w:pStyle w:val="Sourcenotes"/>
      </w:pPr>
      <w:r>
        <w:t xml:space="preserve">Source: </w:t>
      </w:r>
      <w:r w:rsidR="000F21F0">
        <w:t xml:space="preserve">BITRE, 2025, </w:t>
      </w:r>
      <w:hyperlink r:id="rId65" w:history="1">
        <w:r w:rsidR="000F21F0" w:rsidRPr="000F21F0">
          <w:rPr>
            <w:rStyle w:val="Hyperlink"/>
          </w:rPr>
          <w:t>Heavy vehicle Road deaths</w:t>
        </w:r>
      </w:hyperlink>
      <w:r w:rsidR="00063EAF">
        <w:t>, BITRE website</w:t>
      </w:r>
      <w:r w:rsidR="000F21F0">
        <w:t>.</w:t>
      </w:r>
    </w:p>
    <w:p w14:paraId="059F132F" w14:textId="466C23C5" w:rsidR="00F32185" w:rsidRDefault="006C4156" w:rsidP="006C4156">
      <w:r>
        <w:t xml:space="preserve">The number of crashes and fatalities is influenced by the </w:t>
      </w:r>
      <w:r w:rsidR="00D001CC">
        <w:t>amount</w:t>
      </w:r>
      <w:r>
        <w:t xml:space="preserve"> of </w:t>
      </w:r>
      <w:r w:rsidR="00D001CC">
        <w:t>traffic</w:t>
      </w:r>
      <w:r w:rsidR="00BD6515">
        <w:t xml:space="preserve"> </w:t>
      </w:r>
      <w:r>
        <w:t xml:space="preserve">on Australia’s roads, which increases with the </w:t>
      </w:r>
      <w:r w:rsidR="0097083C">
        <w:t>increasing</w:t>
      </w:r>
      <w:r>
        <w:t xml:space="preserve"> </w:t>
      </w:r>
      <w:r w:rsidR="00D001CC">
        <w:t xml:space="preserve">population and </w:t>
      </w:r>
      <w:r>
        <w:t xml:space="preserve">freight task. </w:t>
      </w:r>
      <w:r>
        <w:fldChar w:fldCharType="begin"/>
      </w:r>
      <w:r>
        <w:instrText xml:space="preserve"> REF _Ref219812190 \h </w:instrText>
      </w:r>
      <w:r>
        <w:fldChar w:fldCharType="separate"/>
      </w:r>
      <w:r w:rsidR="00E4045C" w:rsidRPr="00495C32">
        <w:t xml:space="preserve">Figure </w:t>
      </w:r>
      <w:r w:rsidR="00E4045C">
        <w:rPr>
          <w:noProof/>
        </w:rPr>
        <w:t>11</w:t>
      </w:r>
      <w:r>
        <w:fldChar w:fldCharType="end"/>
      </w:r>
      <w:r>
        <w:t xml:space="preserve"> shows the fatality and </w:t>
      </w:r>
      <w:r w:rsidR="00C5048D">
        <w:t xml:space="preserve">fatal </w:t>
      </w:r>
      <w:r>
        <w:t>crash rate since 2014-15</w:t>
      </w:r>
      <w:r w:rsidR="0097083C">
        <w:t>, removing the effect of the freight task changes</w:t>
      </w:r>
      <w:r>
        <w:rPr>
          <w:rStyle w:val="FootnoteReference"/>
        </w:rPr>
        <w:footnoteReference w:id="11"/>
      </w:r>
      <w:r>
        <w:t xml:space="preserve">. </w:t>
      </w:r>
      <w:r w:rsidR="003509E3">
        <w:t xml:space="preserve">Fatalities and </w:t>
      </w:r>
      <w:r w:rsidR="00C5048D">
        <w:t xml:space="preserve">fatal </w:t>
      </w:r>
      <w:r w:rsidR="003509E3">
        <w:t>crashes</w:t>
      </w:r>
      <w:r>
        <w:t xml:space="preserve"> ha</w:t>
      </w:r>
      <w:r w:rsidR="003509E3">
        <w:t>ve both declined since 2013-14 by 22% and 17% respectively.</w:t>
      </w:r>
      <w:r w:rsidR="0097083C">
        <w:t xml:space="preserve"> The decline during </w:t>
      </w:r>
      <w:r w:rsidR="004130C6">
        <w:t>2019-20 and 2020-21</w:t>
      </w:r>
      <w:r w:rsidR="0097083C">
        <w:t xml:space="preserve"> is not due to the freight task, as this continued to increase</w:t>
      </w:r>
      <w:r w:rsidR="004130C6">
        <w:t xml:space="preserve"> during the pandemic, but likely reflects reduced general traffic as households limited their movement.</w:t>
      </w:r>
      <w:r w:rsidR="003D4C9D" w:rsidRPr="003D4C9D">
        <w:t xml:space="preserve"> </w:t>
      </w:r>
      <w:r w:rsidR="00D30F57" w:rsidRPr="003D4C9D">
        <w:t xml:space="preserve">While the </w:t>
      </w:r>
      <w:r w:rsidR="00C5048D">
        <w:t xml:space="preserve">fatal </w:t>
      </w:r>
      <w:r w:rsidR="00D30F57" w:rsidRPr="003D4C9D">
        <w:t xml:space="preserve">crash rate per </w:t>
      </w:r>
      <w:r w:rsidR="00E55B5F">
        <w:t>billion</w:t>
      </w:r>
      <w:r w:rsidR="00E55B5F" w:rsidRPr="003D4C9D">
        <w:t xml:space="preserve"> </w:t>
      </w:r>
      <w:r w:rsidR="00D30F57" w:rsidRPr="003D4C9D">
        <w:t>kilometre</w:t>
      </w:r>
      <w:r w:rsidR="00E55B5F">
        <w:t>s</w:t>
      </w:r>
      <w:r w:rsidR="00D30F57" w:rsidRPr="003D4C9D">
        <w:t xml:space="preserve"> is falling, heavy vehicles are still more likely to be involved in a fatality due to the long distances they travel.</w:t>
      </w:r>
    </w:p>
    <w:p w14:paraId="456D6E8C" w14:textId="04855088" w:rsidR="009B4CED" w:rsidRDefault="009B4CED" w:rsidP="009B4CED">
      <w:pPr>
        <w:pStyle w:val="Caption"/>
        <w:keepNext/>
      </w:pPr>
      <w:bookmarkStart w:id="55" w:name="_Ref219812190"/>
      <w:bookmarkStart w:id="56" w:name="_Ref219812182"/>
      <w:bookmarkStart w:id="57" w:name="_Toc228276370"/>
      <w:r w:rsidRPr="00495C32">
        <w:lastRenderedPageBreak/>
        <w:t xml:space="preserve">Figure </w:t>
      </w:r>
      <w:fldSimple w:instr=" SEQ Figure \* ARABIC ">
        <w:r w:rsidR="00E4045C">
          <w:rPr>
            <w:noProof/>
          </w:rPr>
          <w:t>11</w:t>
        </w:r>
      </w:fldSimple>
      <w:bookmarkEnd w:id="55"/>
      <w:r w:rsidRPr="00495C32">
        <w:t xml:space="preserve"> Rate of fatalities and </w:t>
      </w:r>
      <w:r w:rsidR="00C5048D" w:rsidRPr="00495C32">
        <w:t xml:space="preserve">fatal </w:t>
      </w:r>
      <w:r w:rsidRPr="00495C32">
        <w:t>crashes involving trucks</w:t>
      </w:r>
      <w:bookmarkEnd w:id="56"/>
      <w:r w:rsidR="00E55B5F" w:rsidRPr="00495C32">
        <w:t xml:space="preserve"> </w:t>
      </w:r>
      <w:r w:rsidR="00E55B5F">
        <w:t>(per billion vehicle kilometres travelled)</w:t>
      </w:r>
      <w:bookmarkEnd w:id="57"/>
    </w:p>
    <w:p w14:paraId="361CC558" w14:textId="1024DD02" w:rsidR="00E55B5F" w:rsidRPr="00E55B5F" w:rsidRDefault="000539F6" w:rsidP="00495C32">
      <w:r>
        <w:rPr>
          <w:noProof/>
        </w:rPr>
        <w:drawing>
          <wp:inline distT="0" distB="0" distL="0" distR="0" wp14:anchorId="396C9856" wp14:editId="137C1158">
            <wp:extent cx="6285230" cy="2901950"/>
            <wp:effectExtent l="0" t="0" r="1270" b="0"/>
            <wp:docPr id="1788676799" name="Picture 3" descr="Bar chart showing fatalities and fatal crash rates involving a heavy vehicle for each year between 2014-15 and 2024-25. The fatality rate varies between 9.1 and 10.6 fatalities per billion kilometres travelled between 2014-2015 and 2018-19, falling to 8.0 and 8.2 for 2019-220 and 2020-21 respectively, then varies between 8.1 and 8.6 for 2021-22 to 2024-25.&#10;The fatal crashes rate varies between 8.4 and 9.2 crashes per billion kilometres travelled for 2014-2015 to 2018-19, falling to 7.1 and 7.5 for 2019-220 and 2020-21 respectively, then varies between 7.2 and 8.2 for 2021-22 to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76799" name="Picture 3" descr="Bar chart showing fatalities and fatal crash rates involving a heavy vehicle for each year between 2014-15 and 2024-25. The fatality rate varies between 9.1 and 10.6 fatalities per billion kilometres travelled between 2014-2015 and 2018-19, falling to 8.0 and 8.2 for 2019-220 and 2020-21 respectively, then varies between 8.1 and 8.6 for 2021-22 to 2024-25.&#10;The fatal crashes rate varies between 8.4 and 9.2 crashes per billion kilometres travelled for 2014-2015 to 2018-19, falling to 7.1 and 7.5 for 2019-220 and 2020-21 respectively, then varies between 7.2 and 8.2 for 2021-22 to 2024-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5230" cy="2901950"/>
                    </a:xfrm>
                    <a:prstGeom prst="rect">
                      <a:avLst/>
                    </a:prstGeom>
                    <a:noFill/>
                  </pic:spPr>
                </pic:pic>
              </a:graphicData>
            </a:graphic>
          </wp:inline>
        </w:drawing>
      </w:r>
    </w:p>
    <w:p w14:paraId="065A3717" w14:textId="6DA35E13" w:rsidR="009B4CED" w:rsidRPr="00780541" w:rsidRDefault="009B4CED" w:rsidP="009B4CED">
      <w:pPr>
        <w:pStyle w:val="Sourcenotes"/>
      </w:pPr>
      <w:r>
        <w:t xml:space="preserve">Source: BITRE, 2025, </w:t>
      </w:r>
      <w:hyperlink r:id="rId67" w:history="1">
        <w:r w:rsidRPr="000F21F0">
          <w:rPr>
            <w:rStyle w:val="Hyperlink"/>
          </w:rPr>
          <w:t>Heavy vehicle Road deaths</w:t>
        </w:r>
      </w:hyperlink>
      <w:r>
        <w:t>, BITRE website</w:t>
      </w:r>
      <w:r w:rsidR="006C4156">
        <w:t xml:space="preserve">; </w:t>
      </w:r>
      <w:r w:rsidR="006C4156" w:rsidRPr="00232765">
        <w:t xml:space="preserve">BITRE, 2025, </w:t>
      </w:r>
      <w:hyperlink r:id="rId68" w:history="1">
        <w:r w:rsidR="006C4156" w:rsidRPr="00461CA9">
          <w:rPr>
            <w:rStyle w:val="Hyperlink"/>
          </w:rPr>
          <w:t>Australian Infrastructure and Transport Statistics Yearbook 2025</w:t>
        </w:r>
      </w:hyperlink>
      <w:r w:rsidR="006C4156">
        <w:t>,</w:t>
      </w:r>
      <w:r w:rsidR="006C4156" w:rsidRPr="009B4CED">
        <w:t xml:space="preserve"> </w:t>
      </w:r>
      <w:r w:rsidR="006C4156">
        <w:t>BITRE website</w:t>
      </w:r>
      <w:r>
        <w:t>.</w:t>
      </w:r>
    </w:p>
    <w:p w14:paraId="798B8C50" w14:textId="006A1D2F" w:rsidR="0008101D" w:rsidRPr="0008101D" w:rsidRDefault="0008101D" w:rsidP="005155D3">
      <w:pPr>
        <w:pStyle w:val="Box1Text"/>
        <w:keepNext/>
        <w:rPr>
          <w:lang w:val="en-AU"/>
        </w:rPr>
      </w:pPr>
      <w:bookmarkStart w:id="58" w:name="_Hlk203403842"/>
      <w:r>
        <w:t xml:space="preserve">Measure: </w:t>
      </w:r>
      <w:r w:rsidRPr="0008101D">
        <w:t>Fatalities, injuries and near misses</w:t>
      </w:r>
      <w:r>
        <w:t xml:space="preserve"> – </w:t>
      </w:r>
      <w:r w:rsidRPr="0008101D">
        <w:t>Number of fatalities, serious injuries, and near misses involving freight trains</w:t>
      </w:r>
      <w:r>
        <w:rPr>
          <w:lang w:val="en-AU"/>
        </w:rPr>
        <w:t>.</w:t>
      </w:r>
    </w:p>
    <w:p w14:paraId="1D062C59" w14:textId="3B86AC12" w:rsidR="000770EC" w:rsidRDefault="00001DA3" w:rsidP="00001DA3">
      <w:r>
        <w:fldChar w:fldCharType="begin"/>
      </w:r>
      <w:r>
        <w:instrText xml:space="preserve"> REF _Ref207044345 \h  \* MERGEFORMAT </w:instrText>
      </w:r>
      <w:r>
        <w:fldChar w:fldCharType="separate"/>
      </w:r>
      <w:r w:rsidR="00E4045C">
        <w:t xml:space="preserve">Figure </w:t>
      </w:r>
      <w:r w:rsidR="00E4045C">
        <w:rPr>
          <w:noProof/>
        </w:rPr>
        <w:t>12</w:t>
      </w:r>
      <w:r>
        <w:fldChar w:fldCharType="end"/>
      </w:r>
      <w:r>
        <w:t xml:space="preserve"> shows the number of fatalities and serious injuries </w:t>
      </w:r>
      <w:r w:rsidR="00D621EA">
        <w:t>on</w:t>
      </w:r>
      <w:r w:rsidR="001C7963">
        <w:t xml:space="preserve"> rail</w:t>
      </w:r>
      <w:r w:rsidR="00D621EA">
        <w:t>, freight and passenger</w:t>
      </w:r>
      <w:r w:rsidR="00D621EA">
        <w:rPr>
          <w:rStyle w:val="FootnoteReference"/>
        </w:rPr>
        <w:footnoteReference w:id="12"/>
      </w:r>
      <w:r>
        <w:t xml:space="preserve">. </w:t>
      </w:r>
      <w:r w:rsidR="001C7963">
        <w:t>This data includes workers and members of the public</w:t>
      </w:r>
      <w:r w:rsidR="00B15970">
        <w:rPr>
          <w:rStyle w:val="FootnoteReference"/>
        </w:rPr>
        <w:footnoteReference w:id="13"/>
      </w:r>
      <w:r w:rsidR="001C7963">
        <w:t>, but not passenger</w:t>
      </w:r>
      <w:r w:rsidR="00B15970">
        <w:t>s,</w:t>
      </w:r>
      <w:r w:rsidR="001C7963">
        <w:t xml:space="preserve"> trespassers</w:t>
      </w:r>
      <w:r w:rsidR="00B15970">
        <w:t xml:space="preserve"> and those suspected of self-harm</w:t>
      </w:r>
      <w:r w:rsidR="001C7963">
        <w:t xml:space="preserve">. </w:t>
      </w:r>
      <w:r w:rsidR="000770EC">
        <w:t xml:space="preserve">The number of fatalities and injuries are small, particularly for fatalities, so a small number of incidents can result in large fluctuations in the numbers. This variability combined with the small numbers means that a rate is not </w:t>
      </w:r>
      <w:r w:rsidR="005816AD">
        <w:t>meaningful.</w:t>
      </w:r>
    </w:p>
    <w:p w14:paraId="529262E5" w14:textId="60B1B8AA" w:rsidR="00780541" w:rsidRPr="00001DA3" w:rsidRDefault="00D9082F" w:rsidP="00001DA3">
      <w:r>
        <w:t xml:space="preserve">Fatalities are more likely to be a member of the public, serious injuries </w:t>
      </w:r>
      <w:r w:rsidR="001F1E2B">
        <w:t xml:space="preserve">since 2022 </w:t>
      </w:r>
      <w:r>
        <w:t>are more likely to be workers</w:t>
      </w:r>
      <w:r w:rsidR="005479B0">
        <w:t>.</w:t>
      </w:r>
    </w:p>
    <w:p w14:paraId="733A3CA9" w14:textId="0654C59C" w:rsidR="00EC7A6E" w:rsidRDefault="00EC7A6E" w:rsidP="00EC7A6E">
      <w:pPr>
        <w:pStyle w:val="Caption"/>
        <w:keepNext/>
      </w:pPr>
      <w:bookmarkStart w:id="59" w:name="_Ref207044345"/>
      <w:bookmarkStart w:id="60" w:name="_Toc228276371"/>
      <w:bookmarkEnd w:id="58"/>
      <w:r>
        <w:lastRenderedPageBreak/>
        <w:t xml:space="preserve">Figure </w:t>
      </w:r>
      <w:fldSimple w:instr=" SEQ Figure \* ARABIC ">
        <w:r w:rsidR="00E4045C">
          <w:rPr>
            <w:noProof/>
          </w:rPr>
          <w:t>12</w:t>
        </w:r>
      </w:fldSimple>
      <w:bookmarkEnd w:id="59"/>
      <w:r>
        <w:t xml:space="preserve"> N</w:t>
      </w:r>
      <w:r w:rsidRPr="009773F3">
        <w:t xml:space="preserve">umber of </w:t>
      </w:r>
      <w:r w:rsidR="00E21AD1">
        <w:t>train</w:t>
      </w:r>
      <w:r w:rsidR="001C7963">
        <w:t xml:space="preserve"> </w:t>
      </w:r>
      <w:r w:rsidRPr="009773F3">
        <w:t>fatalities and serious injuries</w:t>
      </w:r>
      <w:bookmarkEnd w:id="60"/>
    </w:p>
    <w:p w14:paraId="57F2D7E7" w14:textId="0BCD6D5B" w:rsidR="00577BE1" w:rsidRDefault="00F6336B" w:rsidP="002317A0">
      <w:pPr>
        <w:pStyle w:val="Bullet2"/>
        <w:numPr>
          <w:ilvl w:val="0"/>
          <w:numId w:val="0"/>
        </w:numPr>
        <w:rPr>
          <w:lang w:val="en-AU"/>
        </w:rPr>
      </w:pPr>
      <w:r>
        <w:rPr>
          <w:noProof/>
          <w:lang w:val="en-AU"/>
        </w:rPr>
        <w:drawing>
          <wp:inline distT="0" distB="0" distL="0" distR="0" wp14:anchorId="36294A11" wp14:editId="1E081043">
            <wp:extent cx="6236970" cy="2755900"/>
            <wp:effectExtent l="0" t="0" r="0" b="6350"/>
            <wp:docPr id="1184364943" name="Picture 13" descr="Bar graph showing the number of train fatalities and serious injuries 2018-19 to  2024-25. &#10;Fatalities fluctuate between 6 in 2018-29 and 2021-22 to 13 in 2024-25. &#10;Serious injuries fluctuate between 23 in 2019-20 and 39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64943" name="Picture 13" descr="Bar graph showing the number of train fatalities and serious injuries 2018-19 to  2024-25. &#10;Fatalities fluctuate between 6 in 2018-29 and 2021-22 to 13 in 2024-25. &#10;Serious injuries fluctuate between 23 in 2019-20 and 39 in 2023-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36970" cy="2755900"/>
                    </a:xfrm>
                    <a:prstGeom prst="rect">
                      <a:avLst/>
                    </a:prstGeom>
                    <a:noFill/>
                  </pic:spPr>
                </pic:pic>
              </a:graphicData>
            </a:graphic>
          </wp:inline>
        </w:drawing>
      </w:r>
    </w:p>
    <w:p w14:paraId="6BAB7F92" w14:textId="2BDF8856" w:rsidR="00780541" w:rsidRDefault="00780541" w:rsidP="00780541">
      <w:pPr>
        <w:pStyle w:val="Sourcenotes"/>
        <w:rPr>
          <w:rStyle w:val="Hyperlink"/>
        </w:rPr>
      </w:pPr>
      <w:r>
        <w:rPr>
          <w:lang w:val="en-AU"/>
        </w:rPr>
        <w:t xml:space="preserve">Source: </w:t>
      </w:r>
      <w:r w:rsidR="00DB6C4A">
        <w:rPr>
          <w:lang w:val="en-AU"/>
        </w:rPr>
        <w:t>ONRSR</w:t>
      </w:r>
      <w:r w:rsidR="00063EAF">
        <w:rPr>
          <w:lang w:val="en-AU"/>
        </w:rPr>
        <w:t xml:space="preserve"> (Office of the National Rail Safety Regulator)</w:t>
      </w:r>
      <w:r w:rsidR="00DB6C4A">
        <w:rPr>
          <w:lang w:val="en-AU"/>
        </w:rPr>
        <w:t xml:space="preserve"> 2025, </w:t>
      </w:r>
      <w:hyperlink r:id="rId70" w:history="1">
        <w:r w:rsidR="00063EAF">
          <w:rPr>
            <w:rStyle w:val="Hyperlink"/>
          </w:rPr>
          <w:t>National rail safety data</w:t>
        </w:r>
      </w:hyperlink>
      <w:r w:rsidR="00063EAF">
        <w:t>, ONRSR website.</w:t>
      </w:r>
    </w:p>
    <w:p w14:paraId="3F6021FD" w14:textId="34A2D544" w:rsidR="009D3835" w:rsidRPr="009D3835" w:rsidRDefault="009D3835" w:rsidP="00780541">
      <w:pPr>
        <w:pStyle w:val="Sourcenotes"/>
        <w:rPr>
          <w:lang w:val="en-AU"/>
        </w:rPr>
      </w:pPr>
      <w:r>
        <w:rPr>
          <w:lang w:val="en-AU"/>
        </w:rPr>
        <w:t>Note: Fatality and serious injury data is for all trains, freight or otherwise.</w:t>
      </w:r>
    </w:p>
    <w:p w14:paraId="609CD196" w14:textId="2AE671FB" w:rsidR="00D9082F" w:rsidRDefault="00D9082F" w:rsidP="00D9082F">
      <w:r>
        <w:t xml:space="preserve">Collisions and near hits (formerly referred to as near misses) for freight trains </w:t>
      </w:r>
      <w:r w:rsidR="00D20A90">
        <w:t>at level crossings</w:t>
      </w:r>
      <w:r w:rsidR="006C6B2D">
        <w:t xml:space="preserve"> </w:t>
      </w:r>
      <w:r w:rsidR="0003675F">
        <w:t>and running line</w:t>
      </w:r>
      <w:r w:rsidR="00D20A90">
        <w:t xml:space="preserve"> </w:t>
      </w:r>
      <w:r>
        <w:t xml:space="preserve">are shown in </w:t>
      </w:r>
      <w:r>
        <w:fldChar w:fldCharType="begin"/>
      </w:r>
      <w:r>
        <w:instrText xml:space="preserve"> REF _Ref207046684 \h </w:instrText>
      </w:r>
      <w:r>
        <w:fldChar w:fldCharType="separate"/>
      </w:r>
      <w:r w:rsidR="00E4045C">
        <w:t xml:space="preserve">Table </w:t>
      </w:r>
      <w:r w:rsidR="00E4045C">
        <w:rPr>
          <w:noProof/>
        </w:rPr>
        <w:t>1</w:t>
      </w:r>
      <w:r>
        <w:fldChar w:fldCharType="end"/>
      </w:r>
      <w:r>
        <w:t xml:space="preserve">. </w:t>
      </w:r>
      <w:r w:rsidR="00D20A90">
        <w:t>ONRSR has changed how this data is calculated, so consistent data is only available from 2022-23.</w:t>
      </w:r>
      <w:r w:rsidR="0003675F">
        <w:t xml:space="preserve"> </w:t>
      </w:r>
    </w:p>
    <w:p w14:paraId="03D20A7D" w14:textId="0C778893" w:rsidR="00EC7A6E" w:rsidRDefault="00EC7A6E" w:rsidP="00EC7A6E">
      <w:pPr>
        <w:pStyle w:val="Caption"/>
        <w:keepNext/>
      </w:pPr>
      <w:bookmarkStart w:id="61" w:name="_Ref207046684"/>
      <w:bookmarkStart w:id="62" w:name="_Ref207046677"/>
      <w:bookmarkStart w:id="63" w:name="_Toc228276372"/>
      <w:r>
        <w:t xml:space="preserve">Table </w:t>
      </w:r>
      <w:fldSimple w:instr=" SEQ Table \* ARABIC ">
        <w:r w:rsidR="00E4045C">
          <w:rPr>
            <w:noProof/>
          </w:rPr>
          <w:t>1</w:t>
        </w:r>
      </w:fldSimple>
      <w:bookmarkEnd w:id="61"/>
      <w:r>
        <w:t xml:space="preserve"> </w:t>
      </w:r>
      <w:r w:rsidRPr="00CF4985">
        <w:t>Collision and near hit incidents involving freight trains</w:t>
      </w:r>
      <w:bookmarkEnd w:id="62"/>
      <w:r w:rsidR="00D20A90">
        <w:t xml:space="preserve"> at level crossings</w:t>
      </w:r>
      <w:bookmarkEnd w:id="63"/>
    </w:p>
    <w:tbl>
      <w:tblPr>
        <w:tblStyle w:val="DefaultTable1"/>
        <w:tblW w:w="6096" w:type="dxa"/>
        <w:tblLayout w:type="fixed"/>
        <w:tblLook w:val="04A0" w:firstRow="1" w:lastRow="0" w:firstColumn="1" w:lastColumn="0" w:noHBand="0" w:noVBand="1"/>
      </w:tblPr>
      <w:tblGrid>
        <w:gridCol w:w="1062"/>
        <w:gridCol w:w="1678"/>
        <w:gridCol w:w="1678"/>
        <w:gridCol w:w="1678"/>
      </w:tblGrid>
      <w:tr w:rsidR="00C23F1B" w:rsidRPr="00527007" w14:paraId="3736A8BC" w14:textId="7F491F53" w:rsidTr="00737D53">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062" w:type="dxa"/>
            <w:noWrap/>
            <w:hideMark/>
          </w:tcPr>
          <w:p w14:paraId="413A0002" w14:textId="58E6F8EA" w:rsidR="00C23F1B" w:rsidRPr="00527007" w:rsidRDefault="00C23F1B" w:rsidP="00527007">
            <w:r w:rsidRPr="00527007">
              <w:t>Year</w:t>
            </w:r>
          </w:p>
        </w:tc>
        <w:tc>
          <w:tcPr>
            <w:tcW w:w="1678" w:type="dxa"/>
            <w:noWrap/>
            <w:hideMark/>
          </w:tcPr>
          <w:p w14:paraId="691F1DA6" w14:textId="46CE578A" w:rsidR="00C23F1B" w:rsidRPr="00527007" w:rsidRDefault="00C23F1B" w:rsidP="00737D53">
            <w:pPr>
              <w:jc w:val="right"/>
              <w:cnfStyle w:val="100000000000" w:firstRow="1" w:lastRow="0" w:firstColumn="0" w:lastColumn="0" w:oddVBand="0" w:evenVBand="0" w:oddHBand="0" w:evenHBand="0" w:firstRowFirstColumn="0" w:firstRowLastColumn="0" w:lastRowFirstColumn="0" w:lastRowLastColumn="0"/>
            </w:pPr>
            <w:r>
              <w:t>Level crossing c</w:t>
            </w:r>
            <w:r w:rsidRPr="00527007">
              <w:t>ollisions</w:t>
            </w:r>
          </w:p>
        </w:tc>
        <w:tc>
          <w:tcPr>
            <w:tcW w:w="1678" w:type="dxa"/>
            <w:noWrap/>
            <w:hideMark/>
          </w:tcPr>
          <w:p w14:paraId="69C149BC" w14:textId="7C5D3B34" w:rsidR="00C23F1B" w:rsidRPr="00527007" w:rsidRDefault="0003675F" w:rsidP="00737D53">
            <w:pPr>
              <w:jc w:val="right"/>
              <w:cnfStyle w:val="100000000000" w:firstRow="1" w:lastRow="0" w:firstColumn="0" w:lastColumn="0" w:oddVBand="0" w:evenVBand="0" w:oddHBand="0" w:evenHBand="0" w:firstRowFirstColumn="0" w:firstRowLastColumn="0" w:lastRowFirstColumn="0" w:lastRowLastColumn="0"/>
            </w:pPr>
            <w:r>
              <w:t>Level crossing n</w:t>
            </w:r>
            <w:r w:rsidR="00C23F1B" w:rsidRPr="00527007">
              <w:t>ear hits</w:t>
            </w:r>
          </w:p>
        </w:tc>
        <w:tc>
          <w:tcPr>
            <w:tcW w:w="1678" w:type="dxa"/>
          </w:tcPr>
          <w:p w14:paraId="3343AF4F" w14:textId="6262FAEA" w:rsidR="00C23F1B" w:rsidRPr="00527007" w:rsidRDefault="00C23F1B" w:rsidP="00737D53">
            <w:pPr>
              <w:jc w:val="right"/>
              <w:cnfStyle w:val="100000000000" w:firstRow="1" w:lastRow="0" w:firstColumn="0" w:lastColumn="0" w:oddVBand="0" w:evenVBand="0" w:oddHBand="0" w:evenHBand="0" w:firstRowFirstColumn="0" w:firstRowLastColumn="0" w:lastRowFirstColumn="0" w:lastRowLastColumn="0"/>
            </w:pPr>
            <w:r w:rsidRPr="00C23F1B">
              <w:t>Running line collision</w:t>
            </w:r>
            <w:r w:rsidR="00737D53">
              <w:t>s</w:t>
            </w:r>
          </w:p>
        </w:tc>
      </w:tr>
      <w:tr w:rsidR="00737D53" w:rsidRPr="00527007" w14:paraId="1DE34A07" w14:textId="46CAF709" w:rsidTr="00737D53">
        <w:trPr>
          <w:trHeight w:val="290"/>
        </w:trPr>
        <w:tc>
          <w:tcPr>
            <w:cnfStyle w:val="001000000000" w:firstRow="0" w:lastRow="0" w:firstColumn="1" w:lastColumn="0" w:oddVBand="0" w:evenVBand="0" w:oddHBand="0" w:evenHBand="0" w:firstRowFirstColumn="0" w:firstRowLastColumn="0" w:lastRowFirstColumn="0" w:lastRowLastColumn="0"/>
            <w:tcW w:w="1062" w:type="dxa"/>
            <w:noWrap/>
            <w:hideMark/>
          </w:tcPr>
          <w:p w14:paraId="46F3FC4E" w14:textId="2A2C379F" w:rsidR="00737D53" w:rsidRPr="00527007" w:rsidRDefault="00737D53" w:rsidP="00737D53">
            <w:pPr>
              <w:spacing w:after="0" w:line="240" w:lineRule="auto"/>
              <w:rPr>
                <w:rFonts w:ascii="Calibri" w:eastAsia="Times New Roman" w:hAnsi="Calibri" w:cs="Calibri"/>
                <w:color w:val="000000"/>
                <w:szCs w:val="22"/>
                <w:lang w:eastAsia="en-AU"/>
              </w:rPr>
            </w:pPr>
            <w:r w:rsidRPr="00527007">
              <w:rPr>
                <w:rFonts w:ascii="Calibri" w:eastAsia="Times New Roman" w:hAnsi="Calibri" w:cs="Calibri"/>
                <w:color w:val="000000"/>
                <w:szCs w:val="22"/>
                <w:lang w:eastAsia="en-AU"/>
              </w:rPr>
              <w:t>2022-23</w:t>
            </w:r>
          </w:p>
        </w:tc>
        <w:tc>
          <w:tcPr>
            <w:tcW w:w="1678" w:type="dxa"/>
            <w:noWrap/>
            <w:hideMark/>
          </w:tcPr>
          <w:p w14:paraId="1923052B" w14:textId="05EA31CF" w:rsidR="00737D53" w:rsidRPr="00527007" w:rsidRDefault="00737D53" w:rsidP="00737D5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en-AU"/>
              </w:rPr>
            </w:pPr>
            <w:r w:rsidRPr="00310777">
              <w:t xml:space="preserve">19 </w:t>
            </w:r>
          </w:p>
        </w:tc>
        <w:tc>
          <w:tcPr>
            <w:tcW w:w="1678" w:type="dxa"/>
            <w:noWrap/>
            <w:hideMark/>
          </w:tcPr>
          <w:p w14:paraId="6F8A0B60" w14:textId="0FF8FFF2" w:rsidR="00737D53" w:rsidRPr="00527007" w:rsidRDefault="00737D53" w:rsidP="00737D5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en-AU"/>
              </w:rPr>
            </w:pPr>
            <w:r w:rsidRPr="00310777">
              <w:t xml:space="preserve">159 </w:t>
            </w:r>
          </w:p>
        </w:tc>
        <w:tc>
          <w:tcPr>
            <w:tcW w:w="1678" w:type="dxa"/>
          </w:tcPr>
          <w:p w14:paraId="7373F85F" w14:textId="5E7FB297" w:rsidR="00737D53" w:rsidRPr="00527007" w:rsidRDefault="00737D53" w:rsidP="00737D5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en-AU"/>
              </w:rPr>
            </w:pPr>
            <w:r w:rsidRPr="00310777">
              <w:t xml:space="preserve">26 </w:t>
            </w:r>
          </w:p>
        </w:tc>
      </w:tr>
      <w:tr w:rsidR="00737D53" w:rsidRPr="00527007" w14:paraId="66D8000F" w14:textId="7E648DCB" w:rsidTr="00737D5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62" w:type="dxa"/>
            <w:noWrap/>
            <w:hideMark/>
          </w:tcPr>
          <w:p w14:paraId="339BB49A" w14:textId="1DFF9AAC" w:rsidR="00737D53" w:rsidRPr="00527007" w:rsidRDefault="00737D53" w:rsidP="00737D53">
            <w:pPr>
              <w:spacing w:after="0" w:line="240" w:lineRule="auto"/>
              <w:rPr>
                <w:rFonts w:ascii="Calibri" w:eastAsia="Times New Roman" w:hAnsi="Calibri" w:cs="Calibri"/>
                <w:color w:val="000000"/>
                <w:szCs w:val="22"/>
                <w:lang w:eastAsia="en-AU"/>
              </w:rPr>
            </w:pPr>
            <w:r w:rsidRPr="00527007">
              <w:rPr>
                <w:rFonts w:ascii="Calibri" w:eastAsia="Times New Roman" w:hAnsi="Calibri" w:cs="Calibri"/>
                <w:color w:val="000000"/>
                <w:szCs w:val="22"/>
                <w:lang w:eastAsia="en-AU"/>
              </w:rPr>
              <w:t>2023-24</w:t>
            </w:r>
          </w:p>
        </w:tc>
        <w:tc>
          <w:tcPr>
            <w:tcW w:w="1678" w:type="dxa"/>
            <w:noWrap/>
            <w:hideMark/>
          </w:tcPr>
          <w:p w14:paraId="776C4B6A" w14:textId="04743414" w:rsidR="00737D53" w:rsidRPr="00527007" w:rsidRDefault="00737D53" w:rsidP="00737D5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2"/>
                <w:lang w:eastAsia="en-AU"/>
              </w:rPr>
            </w:pPr>
            <w:r w:rsidRPr="00310777">
              <w:t xml:space="preserve">22 </w:t>
            </w:r>
          </w:p>
        </w:tc>
        <w:tc>
          <w:tcPr>
            <w:tcW w:w="1678" w:type="dxa"/>
            <w:noWrap/>
            <w:hideMark/>
          </w:tcPr>
          <w:p w14:paraId="109608B0" w14:textId="590F5286" w:rsidR="00737D53" w:rsidRPr="00527007" w:rsidRDefault="00737D53" w:rsidP="00737D5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2"/>
                <w:lang w:eastAsia="en-AU"/>
              </w:rPr>
            </w:pPr>
            <w:r w:rsidRPr="00310777">
              <w:t xml:space="preserve">283 </w:t>
            </w:r>
          </w:p>
        </w:tc>
        <w:tc>
          <w:tcPr>
            <w:tcW w:w="1678" w:type="dxa"/>
          </w:tcPr>
          <w:p w14:paraId="72A0A2FF" w14:textId="3BDDBE83" w:rsidR="00737D53" w:rsidRPr="00527007" w:rsidRDefault="00737D53" w:rsidP="00737D5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2"/>
                <w:lang w:eastAsia="en-AU"/>
              </w:rPr>
            </w:pPr>
            <w:r w:rsidRPr="00310777">
              <w:t xml:space="preserve">33 </w:t>
            </w:r>
          </w:p>
        </w:tc>
      </w:tr>
      <w:tr w:rsidR="00737D53" w:rsidRPr="00527007" w14:paraId="6F399C41" w14:textId="77777777" w:rsidTr="00737D53">
        <w:trPr>
          <w:trHeight w:val="290"/>
        </w:trPr>
        <w:tc>
          <w:tcPr>
            <w:cnfStyle w:val="001000000000" w:firstRow="0" w:lastRow="0" w:firstColumn="1" w:lastColumn="0" w:oddVBand="0" w:evenVBand="0" w:oddHBand="0" w:evenHBand="0" w:firstRowFirstColumn="0" w:firstRowLastColumn="0" w:lastRowFirstColumn="0" w:lastRowLastColumn="0"/>
            <w:tcW w:w="1062" w:type="dxa"/>
            <w:noWrap/>
          </w:tcPr>
          <w:p w14:paraId="4BDC6D54" w14:textId="7C798891" w:rsidR="00737D53" w:rsidRPr="00527007" w:rsidRDefault="00737D53" w:rsidP="00737D53">
            <w:pPr>
              <w:spacing w:after="0" w:line="240" w:lineRule="auto"/>
              <w:rPr>
                <w:rFonts w:ascii="Calibri" w:eastAsia="Times New Roman" w:hAnsi="Calibri" w:cs="Calibri"/>
                <w:color w:val="000000"/>
                <w:szCs w:val="22"/>
                <w:lang w:eastAsia="en-AU"/>
              </w:rPr>
            </w:pPr>
            <w:r>
              <w:rPr>
                <w:rFonts w:ascii="Calibri" w:eastAsia="Times New Roman" w:hAnsi="Calibri" w:cs="Calibri"/>
                <w:color w:val="000000"/>
                <w:szCs w:val="22"/>
                <w:lang w:eastAsia="en-AU"/>
              </w:rPr>
              <w:t>2024-25</w:t>
            </w:r>
          </w:p>
        </w:tc>
        <w:tc>
          <w:tcPr>
            <w:tcW w:w="1678" w:type="dxa"/>
            <w:noWrap/>
          </w:tcPr>
          <w:p w14:paraId="625AFB44" w14:textId="44E28DA4" w:rsidR="00737D53" w:rsidRDefault="00737D53" w:rsidP="00737D5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sidRPr="00310777">
              <w:t xml:space="preserve">23 </w:t>
            </w:r>
          </w:p>
        </w:tc>
        <w:tc>
          <w:tcPr>
            <w:tcW w:w="1678" w:type="dxa"/>
            <w:noWrap/>
          </w:tcPr>
          <w:p w14:paraId="5766520B" w14:textId="4260B58E" w:rsidR="00737D53" w:rsidRPr="00527007" w:rsidRDefault="00737D53" w:rsidP="00737D5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en-AU"/>
              </w:rPr>
            </w:pPr>
            <w:r w:rsidRPr="00310777">
              <w:t xml:space="preserve">225 </w:t>
            </w:r>
          </w:p>
        </w:tc>
        <w:tc>
          <w:tcPr>
            <w:tcW w:w="1678" w:type="dxa"/>
          </w:tcPr>
          <w:p w14:paraId="0B6650E2" w14:textId="1321CE6C" w:rsidR="00737D53" w:rsidRPr="00527007" w:rsidRDefault="00737D53" w:rsidP="00737D5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en-AU"/>
              </w:rPr>
            </w:pPr>
            <w:r w:rsidRPr="00310777">
              <w:t xml:space="preserve">18 </w:t>
            </w:r>
          </w:p>
        </w:tc>
      </w:tr>
    </w:tbl>
    <w:p w14:paraId="4F093837" w14:textId="4C551957" w:rsidR="00780541" w:rsidRDefault="00780541" w:rsidP="00780541">
      <w:pPr>
        <w:pStyle w:val="Sourcenotes"/>
        <w:rPr>
          <w:rStyle w:val="Hyperlink"/>
        </w:rPr>
      </w:pPr>
      <w:r>
        <w:rPr>
          <w:lang w:val="en-AU"/>
        </w:rPr>
        <w:t xml:space="preserve">Source: </w:t>
      </w:r>
      <w:r w:rsidR="00DB6C4A">
        <w:rPr>
          <w:lang w:val="en-AU"/>
        </w:rPr>
        <w:t xml:space="preserve">ONRSR 2025, </w:t>
      </w:r>
      <w:hyperlink r:id="rId71" w:history="1">
        <w:r w:rsidR="00B8495C">
          <w:rPr>
            <w:rStyle w:val="Hyperlink"/>
          </w:rPr>
          <w:t>National rail safety data</w:t>
        </w:r>
      </w:hyperlink>
      <w:r w:rsidR="00B8495C">
        <w:t>, ONRSR website.</w:t>
      </w:r>
    </w:p>
    <w:p w14:paraId="2628DDE0" w14:textId="12D63AA8" w:rsidR="00AD0CA0" w:rsidRPr="00AD0CA0" w:rsidRDefault="00AD0CA0" w:rsidP="00780541">
      <w:pPr>
        <w:pStyle w:val="Sourcenotes"/>
        <w:rPr>
          <w:lang w:val="en-AU"/>
        </w:rPr>
      </w:pPr>
      <w:r>
        <w:rPr>
          <w:lang w:val="en-AU"/>
        </w:rPr>
        <w:t>Note: Data excludes suspected self-harm incidents.</w:t>
      </w:r>
    </w:p>
    <w:p w14:paraId="0C935F4B" w14:textId="586D395D" w:rsidR="0008101D" w:rsidRDefault="0008101D" w:rsidP="0008101D">
      <w:pPr>
        <w:pStyle w:val="Box1Text"/>
      </w:pPr>
      <w:r>
        <w:t xml:space="preserve">Measure: </w:t>
      </w:r>
      <w:r w:rsidRPr="0008101D">
        <w:t>Fatalities, injuries and near misses</w:t>
      </w:r>
      <w:r>
        <w:t xml:space="preserve"> – </w:t>
      </w:r>
      <w:r w:rsidRPr="0008101D">
        <w:t xml:space="preserve">Number of workplace fatalities in the Transport, </w:t>
      </w:r>
      <w:r w:rsidR="00CF0490">
        <w:t>P</w:t>
      </w:r>
      <w:r w:rsidRPr="0008101D">
        <w:t xml:space="preserve">ostal and </w:t>
      </w:r>
      <w:r w:rsidR="00CF0490">
        <w:t>W</w:t>
      </w:r>
      <w:r w:rsidRPr="0008101D">
        <w:t>arehousing sector</w:t>
      </w:r>
      <w:r>
        <w:t>.</w:t>
      </w:r>
    </w:p>
    <w:p w14:paraId="525623B1" w14:textId="0F39154E" w:rsidR="00932082" w:rsidRDefault="007A3EE2" w:rsidP="007A3EE2">
      <w:r>
        <w:fldChar w:fldCharType="begin"/>
      </w:r>
      <w:r>
        <w:instrText xml:space="preserve"> REF _Ref207186431 \h  \* MERGEFORMAT </w:instrText>
      </w:r>
      <w:r>
        <w:fldChar w:fldCharType="separate"/>
      </w:r>
      <w:r w:rsidR="00E4045C">
        <w:t xml:space="preserve">Figure </w:t>
      </w:r>
      <w:r w:rsidR="00E4045C">
        <w:rPr>
          <w:noProof/>
        </w:rPr>
        <w:t>13</w:t>
      </w:r>
      <w:r>
        <w:fldChar w:fldCharType="end"/>
      </w:r>
      <w:r>
        <w:t xml:space="preserve"> shows the fatality rate (deaths per 100,000 employees) for </w:t>
      </w:r>
      <w:r w:rsidR="002D21B1">
        <w:t xml:space="preserve">the </w:t>
      </w:r>
      <w:r w:rsidR="00982AFC">
        <w:t>R</w:t>
      </w:r>
      <w:r>
        <w:t xml:space="preserve">oad </w:t>
      </w:r>
      <w:r w:rsidR="0037259D">
        <w:t>T</w:t>
      </w:r>
      <w:r>
        <w:t>ransport</w:t>
      </w:r>
      <w:r w:rsidR="002D21B1">
        <w:t xml:space="preserve"> </w:t>
      </w:r>
      <w:r w:rsidR="00FF1B0F">
        <w:t>sub-</w:t>
      </w:r>
      <w:r w:rsidR="002D21B1">
        <w:t>industry</w:t>
      </w:r>
      <w:r>
        <w:t xml:space="preserve">, </w:t>
      </w:r>
      <w:r w:rsidR="00D4003C">
        <w:t xml:space="preserve">compared with </w:t>
      </w:r>
      <w:r>
        <w:t xml:space="preserve">the </w:t>
      </w:r>
      <w:r w:rsidR="00982AFC">
        <w:t>T</w:t>
      </w:r>
      <w:r>
        <w:t>ransport</w:t>
      </w:r>
      <w:r w:rsidRPr="007A3EE2">
        <w:t xml:space="preserve">, </w:t>
      </w:r>
      <w:r w:rsidR="00CF0490">
        <w:t>P</w:t>
      </w:r>
      <w:r w:rsidRPr="007A3EE2">
        <w:t xml:space="preserve">ostal and </w:t>
      </w:r>
      <w:r w:rsidR="00CF0490">
        <w:t>W</w:t>
      </w:r>
      <w:r w:rsidRPr="007A3EE2">
        <w:t>arehousing industry</w:t>
      </w:r>
      <w:r w:rsidR="00CF0490">
        <w:rPr>
          <w:rStyle w:val="FootnoteReference"/>
        </w:rPr>
        <w:footnoteReference w:id="14"/>
      </w:r>
      <w:r>
        <w:t xml:space="preserve"> as</w:t>
      </w:r>
      <w:r w:rsidR="00081889">
        <w:t xml:space="preserve"> a</w:t>
      </w:r>
      <w:r>
        <w:t xml:space="preserve"> whole</w:t>
      </w:r>
      <w:r w:rsidR="00E24BD2">
        <w:t>,</w:t>
      </w:r>
      <w:r>
        <w:t xml:space="preserve"> </w:t>
      </w:r>
      <w:r w:rsidR="00205F7A">
        <w:t>along with</w:t>
      </w:r>
      <w:r w:rsidR="0045116C">
        <w:t xml:space="preserve"> </w:t>
      </w:r>
      <w:r w:rsidR="00205F7A">
        <w:t xml:space="preserve">the </w:t>
      </w:r>
      <w:r>
        <w:t>all</w:t>
      </w:r>
      <w:r w:rsidR="00205F7A">
        <w:t>-</w:t>
      </w:r>
      <w:r>
        <w:t>industries</w:t>
      </w:r>
      <w:r w:rsidR="00205F7A">
        <w:t xml:space="preserve"> combined average</w:t>
      </w:r>
      <w:r>
        <w:t xml:space="preserve">. </w:t>
      </w:r>
      <w:r w:rsidR="00176D49">
        <w:t>Other sub-industries are not measured separately in the chart due to the small number of deaths in some years</w:t>
      </w:r>
      <w:r w:rsidR="00C978C6">
        <w:t>.</w:t>
      </w:r>
      <w:r w:rsidR="00176D49">
        <w:t xml:space="preserve"> </w:t>
      </w:r>
      <w:r>
        <w:t xml:space="preserve">The </w:t>
      </w:r>
      <w:r w:rsidR="00982AFC">
        <w:t>T</w:t>
      </w:r>
      <w:r>
        <w:t>ransport</w:t>
      </w:r>
      <w:r w:rsidRPr="007A3EE2">
        <w:t xml:space="preserve">, </w:t>
      </w:r>
      <w:r w:rsidR="0037259D">
        <w:t>P</w:t>
      </w:r>
      <w:r w:rsidRPr="007A3EE2">
        <w:t xml:space="preserve">ostal and </w:t>
      </w:r>
      <w:r w:rsidR="0037259D">
        <w:t>W</w:t>
      </w:r>
      <w:r w:rsidRPr="007A3EE2">
        <w:t>arehousing industry</w:t>
      </w:r>
      <w:r>
        <w:t xml:space="preserve"> has the second highest industry death rate, behind </w:t>
      </w:r>
      <w:r w:rsidR="00982AFC">
        <w:t>A</w:t>
      </w:r>
      <w:r>
        <w:t xml:space="preserve">griculture. This rate is largely driven by the </w:t>
      </w:r>
      <w:r w:rsidR="00982AFC">
        <w:t>R</w:t>
      </w:r>
      <w:r>
        <w:t xml:space="preserve">oad </w:t>
      </w:r>
      <w:r w:rsidR="0037259D">
        <w:t>T</w:t>
      </w:r>
      <w:r>
        <w:t xml:space="preserve">ransport </w:t>
      </w:r>
      <w:r w:rsidR="00E916B4">
        <w:t>sub-</w:t>
      </w:r>
      <w:r w:rsidR="00CB17DF">
        <w:t>industry;</w:t>
      </w:r>
      <w:r w:rsidR="000352BB">
        <w:t xml:space="preserve"> </w:t>
      </w:r>
      <w:r w:rsidR="00D63337">
        <w:t>however,</w:t>
      </w:r>
      <w:r w:rsidR="000352BB">
        <w:t xml:space="preserve"> the other </w:t>
      </w:r>
      <w:r w:rsidR="00E916B4">
        <w:t>sub-</w:t>
      </w:r>
      <w:r w:rsidR="000352BB">
        <w:t>industries</w:t>
      </w:r>
      <w:r w:rsidR="00176D49">
        <w:t xml:space="preserve"> </w:t>
      </w:r>
      <w:r w:rsidR="00C07E98">
        <w:t>are also higher than</w:t>
      </w:r>
      <w:r w:rsidR="000352BB">
        <w:t xml:space="preserve"> the all</w:t>
      </w:r>
      <w:r w:rsidR="00751C8A">
        <w:t>-</w:t>
      </w:r>
      <w:r w:rsidR="000352BB">
        <w:t>industry average.</w:t>
      </w:r>
      <w:r w:rsidR="00176D49">
        <w:t xml:space="preserve"> </w:t>
      </w:r>
      <w:r w:rsidR="007B1790">
        <w:t>In 202</w:t>
      </w:r>
      <w:r w:rsidR="00537E60">
        <w:t>3</w:t>
      </w:r>
      <w:r w:rsidR="007B1790">
        <w:t>-2</w:t>
      </w:r>
      <w:r w:rsidR="00537E60">
        <w:t>4</w:t>
      </w:r>
      <w:r w:rsidR="00D65E99">
        <w:t xml:space="preserve"> </w:t>
      </w:r>
      <w:r w:rsidR="00537E60">
        <w:t>more than a quarter (29%) of all work-</w:t>
      </w:r>
      <w:r w:rsidR="00537E60">
        <w:lastRenderedPageBreak/>
        <w:t>related death</w:t>
      </w:r>
      <w:r w:rsidR="00205F7A">
        <w:t>s</w:t>
      </w:r>
      <w:r w:rsidR="00537E60">
        <w:t xml:space="preserve"> were in </w:t>
      </w:r>
      <w:r w:rsidR="00D65E99">
        <w:t xml:space="preserve">the </w:t>
      </w:r>
      <w:r w:rsidR="00982AFC">
        <w:t>T</w:t>
      </w:r>
      <w:r w:rsidR="00D65E99">
        <w:t>ransport</w:t>
      </w:r>
      <w:r w:rsidR="00D65E99" w:rsidRPr="007A3EE2">
        <w:t xml:space="preserve">, </w:t>
      </w:r>
      <w:r w:rsidR="00CF0490">
        <w:t>P</w:t>
      </w:r>
      <w:r w:rsidR="00D65E99" w:rsidRPr="007A3EE2">
        <w:t xml:space="preserve">ostal and </w:t>
      </w:r>
      <w:r w:rsidR="00CF0490">
        <w:t>W</w:t>
      </w:r>
      <w:r w:rsidR="00D65E99" w:rsidRPr="007A3EE2">
        <w:t>arehousing industry</w:t>
      </w:r>
      <w:r w:rsidR="00D65E99">
        <w:t>, despite representing only 5% of the workforce</w:t>
      </w:r>
      <w:r w:rsidR="00D65E99">
        <w:rPr>
          <w:rStyle w:val="FootnoteReference"/>
        </w:rPr>
        <w:footnoteReference w:id="15"/>
      </w:r>
      <w:r w:rsidR="00D65E99">
        <w:t>.</w:t>
      </w:r>
    </w:p>
    <w:p w14:paraId="47576868" w14:textId="5ACFADD1" w:rsidR="00EC7A6E" w:rsidRDefault="00EC7A6E" w:rsidP="00EC7A6E">
      <w:pPr>
        <w:pStyle w:val="Caption"/>
        <w:keepNext/>
      </w:pPr>
      <w:bookmarkStart w:id="64" w:name="_Ref207186431"/>
      <w:bookmarkStart w:id="65" w:name="_Toc228276373"/>
      <w:r>
        <w:t xml:space="preserve">Figure </w:t>
      </w:r>
      <w:fldSimple w:instr=" SEQ Figure \* ARABIC ">
        <w:r w:rsidR="00E4045C">
          <w:rPr>
            <w:noProof/>
          </w:rPr>
          <w:t>13</w:t>
        </w:r>
      </w:fldSimple>
      <w:bookmarkEnd w:id="64"/>
      <w:r>
        <w:t xml:space="preserve"> </w:t>
      </w:r>
      <w:r w:rsidRPr="00130F26">
        <w:t xml:space="preserve">Fatality rate of employees </w:t>
      </w:r>
      <w:bookmarkStart w:id="66" w:name="_Hlk208381961"/>
      <w:r w:rsidR="00E3661F" w:rsidRPr="00130F26">
        <w:t xml:space="preserve">in the </w:t>
      </w:r>
      <w:r w:rsidR="00982AFC">
        <w:t>T</w:t>
      </w:r>
      <w:r w:rsidR="00E3661F" w:rsidRPr="00130F26">
        <w:t>ransport</w:t>
      </w:r>
      <w:bookmarkStart w:id="67" w:name="_Hlk207186555"/>
      <w:r w:rsidR="00E3661F" w:rsidRPr="00130F26">
        <w:t xml:space="preserve">, </w:t>
      </w:r>
      <w:r w:rsidR="00CF0490">
        <w:t>P</w:t>
      </w:r>
      <w:r w:rsidR="00E3661F" w:rsidRPr="00130F26">
        <w:t xml:space="preserve">ostal and </w:t>
      </w:r>
      <w:r w:rsidR="00CF0490">
        <w:t>W</w:t>
      </w:r>
      <w:r w:rsidR="00E3661F" w:rsidRPr="00130F26">
        <w:t>arehousing industry</w:t>
      </w:r>
      <w:bookmarkEnd w:id="65"/>
      <w:bookmarkEnd w:id="66"/>
      <w:bookmarkEnd w:id="67"/>
    </w:p>
    <w:p w14:paraId="743CB6FD" w14:textId="10A42456" w:rsidR="002C28AB" w:rsidRPr="002C28AB" w:rsidRDefault="00F6336B" w:rsidP="002C28AB">
      <w:r>
        <w:rPr>
          <w:noProof/>
        </w:rPr>
        <w:drawing>
          <wp:inline distT="0" distB="0" distL="0" distR="0" wp14:anchorId="218A06F7" wp14:editId="4F5A062B">
            <wp:extent cx="6328410" cy="4066540"/>
            <wp:effectExtent l="0" t="0" r="0" b="0"/>
            <wp:docPr id="145145869" name="Picture 14" descr="Line chart showing the fatality rate (deaths per 100,000 employees) of employees in the Transport, Postal and Warehousing industry from 2013-14 to 2023-24, with Road Transport displayed separately and both compared to the all industries average.&#10;Road transport: Has the highest fatality rate fluctuating between 9.8 deaths per 100,000 employees in 2017-18 to a peak of 19.1 in 2013-14 and 2021-22.&#10;All Transport, Postal and Warehousing (inc. road) sector: Fluctuates in a narrower range than Road Transport, moving between 6.7 deaths per 100,000 employees in 2020-21 to 10.1 deaths per 100,000 employees in 2021-22. The peak in 2021-22 coincides with the peak in Road Transport.&#10;All industries: The national average is the lowest and relatively stable, but trending downwards slightly. It ranges from 1.2 deaths per 100,000 employees in 2020-21 to 1.8 deaths per 100,000 employees in 2013-14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5869" name="Picture 14" descr="Line chart showing the fatality rate (deaths per 100,000 employees) of employees in the Transport, Postal and Warehousing industry from 2013-14 to 2023-24, with Road Transport displayed separately and both compared to the all industries average.&#10;Road transport: Has the highest fatality rate fluctuating between 9.8 deaths per 100,000 employees in 2017-18 to a peak of 19.1 in 2013-14 and 2021-22.&#10;All Transport, Postal and Warehousing (inc. road) sector: Fluctuates in a narrower range than Road Transport, moving between 6.7 deaths per 100,000 employees in 2020-21 to 10.1 deaths per 100,000 employees in 2021-22. The peak in 2021-22 coincides with the peak in Road Transport.&#10;All industries: The national average is the lowest and relatively stable, but trending downwards slightly. It ranges from 1.2 deaths per 100,000 employees in 2020-21 to 1.8 deaths per 100,000 employees in 2013-14 and 2015-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28410" cy="4066540"/>
                    </a:xfrm>
                    <a:prstGeom prst="rect">
                      <a:avLst/>
                    </a:prstGeom>
                    <a:noFill/>
                  </pic:spPr>
                </pic:pic>
              </a:graphicData>
            </a:graphic>
          </wp:inline>
        </w:drawing>
      </w:r>
    </w:p>
    <w:p w14:paraId="4C674C70" w14:textId="7BE42CD9" w:rsidR="00932082" w:rsidRDefault="002B228E" w:rsidP="0011215B">
      <w:pPr>
        <w:pStyle w:val="Sourcenotes"/>
      </w:pPr>
      <w:bookmarkStart w:id="68" w:name="_Hlk206575583"/>
      <w:r>
        <w:rPr>
          <w:lang w:val="en-AU"/>
        </w:rPr>
        <w:t xml:space="preserve">Source: </w:t>
      </w:r>
      <w:r w:rsidRPr="002B228E">
        <w:t>Safe Work Australia</w:t>
      </w:r>
      <w:r w:rsidR="007A3EE2">
        <w:rPr>
          <w:lang w:val="en-AU"/>
        </w:rPr>
        <w:t xml:space="preserve"> 2025</w:t>
      </w:r>
      <w:bookmarkEnd w:id="68"/>
      <w:r w:rsidR="00EE7E85">
        <w:rPr>
          <w:lang w:val="en-AU"/>
        </w:rPr>
        <w:t xml:space="preserve">, </w:t>
      </w:r>
      <w:hyperlink r:id="rId73" w:history="1">
        <w:r w:rsidR="00EE7E85" w:rsidRPr="00EE7E85">
          <w:rPr>
            <w:rStyle w:val="Hyperlink"/>
            <w:lang w:val="en-AU"/>
          </w:rPr>
          <w:t>Work related fatalities data</w:t>
        </w:r>
      </w:hyperlink>
      <w:r w:rsidR="00B8495C">
        <w:t>, Safe Work website.</w:t>
      </w:r>
    </w:p>
    <w:p w14:paraId="2DB3FE11" w14:textId="5D8C02EA" w:rsidR="00F43724" w:rsidRDefault="00B918E5" w:rsidP="00F43724">
      <w:r>
        <w:t>Truck drivers have the highest number of fatalities of any occupation. Vehicle collisions are the main reason for workplace fatalities, with nearly three in four truck driver fatalities due to a work-related vehicle incident. By contrast, vehicle incidents were the main mechanism for 42% of all workplace fatalities nationally</w:t>
      </w:r>
      <w:r>
        <w:rPr>
          <w:rStyle w:val="FootnoteReference"/>
        </w:rPr>
        <w:footnoteReference w:id="16"/>
      </w:r>
      <w:r>
        <w:t xml:space="preserve">. </w:t>
      </w:r>
    </w:p>
    <w:p w14:paraId="6FFFE6F7" w14:textId="6AF1E29C" w:rsidR="0008101D" w:rsidRDefault="0008101D" w:rsidP="0008101D">
      <w:pPr>
        <w:pStyle w:val="Box1Text"/>
      </w:pPr>
      <w:r>
        <w:t xml:space="preserve">Measure: </w:t>
      </w:r>
      <w:r w:rsidRPr="0008101D">
        <w:t>Fatalities, injuries and near misses</w:t>
      </w:r>
      <w:r>
        <w:t xml:space="preserve"> – Number of serious claims</w:t>
      </w:r>
      <w:r>
        <w:rPr>
          <w:lang w:val="en-AU"/>
        </w:rPr>
        <w:t xml:space="preserve"> </w:t>
      </w:r>
      <w:r w:rsidRPr="0008101D">
        <w:t xml:space="preserve">in the Transport, </w:t>
      </w:r>
      <w:r w:rsidR="00CF0490">
        <w:t>P</w:t>
      </w:r>
      <w:r w:rsidRPr="0008101D">
        <w:t xml:space="preserve">ostal and </w:t>
      </w:r>
      <w:r w:rsidR="00CF0490">
        <w:t>W</w:t>
      </w:r>
      <w:r w:rsidRPr="0008101D">
        <w:t>arehousing sector</w:t>
      </w:r>
      <w:r>
        <w:t>.</w:t>
      </w:r>
    </w:p>
    <w:p w14:paraId="58EBC315" w14:textId="28D97BFB" w:rsidR="0011215B" w:rsidRPr="005D24B4" w:rsidRDefault="0022179A" w:rsidP="0011215B">
      <w:r>
        <w:t xml:space="preserve">The </w:t>
      </w:r>
      <w:r w:rsidR="00982AFC">
        <w:t>T</w:t>
      </w:r>
      <w:r>
        <w:t xml:space="preserve">ransport, </w:t>
      </w:r>
      <w:r w:rsidR="00CF0490">
        <w:t>P</w:t>
      </w:r>
      <w:r>
        <w:t xml:space="preserve">ostal and </w:t>
      </w:r>
      <w:r w:rsidR="00CF0490">
        <w:t>W</w:t>
      </w:r>
      <w:r>
        <w:t>arehousing industry</w:t>
      </w:r>
      <w:r w:rsidR="00CF0490">
        <w:rPr>
          <w:rStyle w:val="FootnoteReference"/>
        </w:rPr>
        <w:footnoteReference w:id="17"/>
      </w:r>
      <w:r>
        <w:t xml:space="preserve"> also has a higher incidence rate of serious injury claims</w:t>
      </w:r>
      <w:r>
        <w:rPr>
          <w:rStyle w:val="FootnoteReference"/>
        </w:rPr>
        <w:footnoteReference w:id="18"/>
      </w:r>
      <w:r>
        <w:t xml:space="preserve"> under worker’s compensation than </w:t>
      </w:r>
      <w:r w:rsidR="00205F7A">
        <w:t>the all-</w:t>
      </w:r>
      <w:r>
        <w:t>industry average (</w:t>
      </w:r>
      <w:r>
        <w:fldChar w:fldCharType="begin"/>
      </w:r>
      <w:r>
        <w:instrText xml:space="preserve"> REF _Ref208384433 \h </w:instrText>
      </w:r>
      <w:r>
        <w:fldChar w:fldCharType="separate"/>
      </w:r>
      <w:r w:rsidR="00E4045C">
        <w:t xml:space="preserve">Figure </w:t>
      </w:r>
      <w:r w:rsidR="00E4045C">
        <w:rPr>
          <w:noProof/>
        </w:rPr>
        <w:t>14</w:t>
      </w:r>
      <w:r>
        <w:fldChar w:fldCharType="end"/>
      </w:r>
      <w:r>
        <w:t>).</w:t>
      </w:r>
      <w:r w:rsidR="005D24B4">
        <w:t xml:space="preserve"> H</w:t>
      </w:r>
      <w:r w:rsidR="00BA1488">
        <w:t>igher incidence rates</w:t>
      </w:r>
      <w:r>
        <w:t xml:space="preserve"> are</w:t>
      </w:r>
      <w:r w:rsidR="0037259D">
        <w:t xml:space="preserve"> </w:t>
      </w:r>
      <w:r w:rsidR="00BA1488">
        <w:t>seen in</w:t>
      </w:r>
      <w:r>
        <w:t xml:space="preserve"> </w:t>
      </w:r>
      <w:r w:rsidR="00BA1488">
        <w:t>the R</w:t>
      </w:r>
      <w:r w:rsidR="001204D5">
        <w:t xml:space="preserve">ail, </w:t>
      </w:r>
      <w:r w:rsidR="00BA1488">
        <w:t>M</w:t>
      </w:r>
      <w:r w:rsidR="001204D5">
        <w:t xml:space="preserve">aritime and </w:t>
      </w:r>
      <w:r w:rsidR="00BA1488">
        <w:t>T</w:t>
      </w:r>
      <w:r w:rsidR="001204D5">
        <w:t xml:space="preserve">ransport </w:t>
      </w:r>
      <w:r w:rsidR="00CF0490">
        <w:t>S</w:t>
      </w:r>
      <w:r w:rsidR="001204D5">
        <w:t xml:space="preserve">ervices </w:t>
      </w:r>
      <w:r w:rsidR="00F60544">
        <w:t>sub-industries</w:t>
      </w:r>
      <w:r w:rsidR="00205F7A">
        <w:t>,</w:t>
      </w:r>
      <w:r w:rsidR="00F60544">
        <w:t xml:space="preserve"> as </w:t>
      </w:r>
      <w:r w:rsidR="00751C8A">
        <w:t xml:space="preserve">well as </w:t>
      </w:r>
      <w:r w:rsidR="00F60544">
        <w:t xml:space="preserve">the </w:t>
      </w:r>
      <w:r w:rsidR="00751C8A">
        <w:t xml:space="preserve">Road </w:t>
      </w:r>
      <w:r w:rsidR="00E916B4">
        <w:t>sub-</w:t>
      </w:r>
      <w:r w:rsidR="00BA1488">
        <w:t>industr</w:t>
      </w:r>
      <w:r w:rsidR="00F60544">
        <w:t>y</w:t>
      </w:r>
      <w:r w:rsidR="006274BC">
        <w:rPr>
          <w:rStyle w:val="FootnoteReference"/>
        </w:rPr>
        <w:footnoteReference w:id="19"/>
      </w:r>
      <w:r w:rsidR="00BA1488">
        <w:t xml:space="preserve">, </w:t>
      </w:r>
      <w:r w:rsidR="0045116C">
        <w:t>although</w:t>
      </w:r>
      <w:r w:rsidR="00BA1488">
        <w:t xml:space="preserve"> other </w:t>
      </w:r>
      <w:r w:rsidR="0037259D">
        <w:lastRenderedPageBreak/>
        <w:t>T</w:t>
      </w:r>
      <w:r w:rsidR="00BA1488">
        <w:t xml:space="preserve">ransport industries also have higher incidence rates than </w:t>
      </w:r>
      <w:r w:rsidR="00205F7A">
        <w:t>the all-</w:t>
      </w:r>
      <w:r w:rsidR="00BA1488">
        <w:t>industry average</w:t>
      </w:r>
      <w:r w:rsidR="001204D5">
        <w:rPr>
          <w:rStyle w:val="FootnoteReference"/>
        </w:rPr>
        <w:footnoteReference w:id="20"/>
      </w:r>
      <w:r w:rsidR="001204D5">
        <w:t>.</w:t>
      </w:r>
      <w:r w:rsidR="00D63337">
        <w:t xml:space="preserve"> </w:t>
      </w:r>
      <w:r w:rsidR="005D24B4">
        <w:t>F</w:t>
      </w:r>
      <w:r w:rsidR="005D24B4" w:rsidRPr="005D24B4">
        <w:t xml:space="preserve">or Truck drivers, the leading mechanisms of injuries for serious claims are </w:t>
      </w:r>
      <w:r w:rsidR="005D24B4" w:rsidRPr="005D24B4">
        <w:rPr>
          <w:i/>
          <w:iCs/>
        </w:rPr>
        <w:t>body stressing</w:t>
      </w:r>
      <w:r w:rsidR="005D24B4" w:rsidRPr="005D24B4">
        <w:t xml:space="preserve"> and </w:t>
      </w:r>
      <w:r w:rsidR="005D24B4" w:rsidRPr="005D24B4">
        <w:rPr>
          <w:i/>
          <w:iCs/>
        </w:rPr>
        <w:t>falls, trips and slips</w:t>
      </w:r>
      <w:r w:rsidR="005D24B4">
        <w:rPr>
          <w:rStyle w:val="FootnoteReference"/>
          <w:i/>
          <w:iCs/>
        </w:rPr>
        <w:footnoteReference w:id="21"/>
      </w:r>
      <w:r w:rsidR="005D24B4">
        <w:t>.</w:t>
      </w:r>
    </w:p>
    <w:p w14:paraId="490CE358" w14:textId="62C09AEC" w:rsidR="00E3661F" w:rsidRDefault="00E3661F" w:rsidP="00E3661F">
      <w:pPr>
        <w:pStyle w:val="Caption"/>
        <w:keepNext/>
      </w:pPr>
      <w:bookmarkStart w:id="69" w:name="_Ref208384433"/>
      <w:bookmarkStart w:id="70" w:name="_Toc228276374"/>
      <w:r>
        <w:t xml:space="preserve">Figure </w:t>
      </w:r>
      <w:fldSimple w:instr=" SEQ Figure \* ARABIC ">
        <w:r w:rsidR="00E4045C">
          <w:rPr>
            <w:noProof/>
          </w:rPr>
          <w:t>14</w:t>
        </w:r>
      </w:fldSimple>
      <w:bookmarkEnd w:id="69"/>
      <w:r>
        <w:t xml:space="preserve"> </w:t>
      </w:r>
      <w:r w:rsidRPr="00BB0F50">
        <w:t xml:space="preserve">Serious claims worker compensation injury incidence rate in the </w:t>
      </w:r>
      <w:r w:rsidR="00524AA4">
        <w:t>T</w:t>
      </w:r>
      <w:r w:rsidRPr="00BB0F50">
        <w:t xml:space="preserve">ransport, </w:t>
      </w:r>
      <w:r w:rsidR="00524AA4">
        <w:t>P</w:t>
      </w:r>
      <w:r w:rsidRPr="00BB0F50">
        <w:t xml:space="preserve">ostal and </w:t>
      </w:r>
      <w:r w:rsidR="00524AA4">
        <w:t>W</w:t>
      </w:r>
      <w:r w:rsidRPr="00BB0F50">
        <w:t>arehousing industry</w:t>
      </w:r>
      <w:bookmarkEnd w:id="70"/>
    </w:p>
    <w:p w14:paraId="1DAFCD80" w14:textId="439886B3" w:rsidR="000F5687" w:rsidRDefault="0036107B" w:rsidP="000F5687">
      <w:pPr>
        <w:pStyle w:val="Bullet1"/>
        <w:numPr>
          <w:ilvl w:val="0"/>
          <w:numId w:val="0"/>
        </w:numPr>
        <w:ind w:left="284" w:hanging="284"/>
      </w:pPr>
      <w:r>
        <w:rPr>
          <w:noProof/>
        </w:rPr>
        <w:drawing>
          <wp:inline distT="0" distB="0" distL="0" distR="0" wp14:anchorId="149C6D13" wp14:editId="52673386">
            <wp:extent cx="6224270" cy="2767965"/>
            <wp:effectExtent l="0" t="0" r="5080" b="0"/>
            <wp:docPr id="1788787890" name="Picture 2" descr="Line chart showing the serious claims worker compensation injury rate (claims per 1,000 filled jobs) of employees in the Transport, Postal and Warehousing industry from 2013-14 to 2023-24, with Road Transport displayed separately and both compared to the all industries average.&#10;Road transport: Has the highest incidence rate fluctuating between 18.1 injuries per 1,000 workers in 2017-18 to a peak of 23.0 in 2021-22.&#10;All Transport, Postal and Warehousing (inc. road) sector: Fluctuates in a narrower range than Road Transport, moving between 14.7 injuries per 1,000 employees in 2015-16 to 17.9 injuries per 1,000 employees in 2022-23. &#10;All industries: The national average is the lowest and relatively stable. It ranges from 9.1 injuries per 1,000 employees from 2015-16 to 2017-18 to 11.2 injuries per 1,000 employees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87890" name="Picture 2" descr="Line chart showing the serious claims worker compensation injury rate (claims per 1,000 filled jobs) of employees in the Transport, Postal and Warehousing industry from 2013-14 to 2023-24, with Road Transport displayed separately and both compared to the all industries average.&#10;Road transport: Has the highest incidence rate fluctuating between 18.1 injuries per 1,000 workers in 2017-18 to a peak of 23.0 in 2021-22.&#10;All Transport, Postal and Warehousing (inc. road) sector: Fluctuates in a narrower range than Road Transport, moving between 14.7 injuries per 1,000 employees in 2015-16 to 17.9 injuries per 1,000 employees in 2022-23. &#10;All industries: The national average is the lowest and relatively stable. It ranges from 9.1 injuries per 1,000 employees from 2015-16 to 2017-18 to 11.2 injuries per 1,000 employees in 2021-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24270" cy="2767965"/>
                    </a:xfrm>
                    <a:prstGeom prst="rect">
                      <a:avLst/>
                    </a:prstGeom>
                    <a:noFill/>
                  </pic:spPr>
                </pic:pic>
              </a:graphicData>
            </a:graphic>
          </wp:inline>
        </w:drawing>
      </w:r>
    </w:p>
    <w:p w14:paraId="2CBBA670" w14:textId="7C9EABAD" w:rsidR="00065D11" w:rsidRDefault="00BC6469" w:rsidP="00BC6469">
      <w:pPr>
        <w:pStyle w:val="Sourcenotes"/>
      </w:pPr>
      <w:r>
        <w:t xml:space="preserve">Source: </w:t>
      </w:r>
      <w:r w:rsidRPr="002B228E">
        <w:t>Safe Work Australia</w:t>
      </w:r>
      <w:r>
        <w:t xml:space="preserve"> 2025, </w:t>
      </w:r>
      <w:hyperlink r:id="rId75" w:history="1">
        <w:r w:rsidRPr="00BC6469">
          <w:rPr>
            <w:rStyle w:val="Hyperlink"/>
            <w:lang w:val="en-AU"/>
          </w:rPr>
          <w:t>Worker’s compensation data</w:t>
        </w:r>
      </w:hyperlink>
      <w:r w:rsidR="00B8495C">
        <w:t>, Safe Work website</w:t>
      </w:r>
      <w:r>
        <w:t>.</w:t>
      </w:r>
    </w:p>
    <w:p w14:paraId="0D5485EA" w14:textId="5BE34B5A" w:rsidR="005D7BA9" w:rsidRDefault="00BC6469" w:rsidP="0024408C">
      <w:pPr>
        <w:pStyle w:val="Sourcenotes"/>
        <w:rPr>
          <w:rFonts w:asciiTheme="majorHAnsi" w:eastAsiaTheme="majorEastAsia" w:hAnsiTheme="majorHAnsi" w:cstheme="majorBidi"/>
          <w:color w:val="06162E" w:themeColor="accent1" w:themeShade="BF"/>
          <w:sz w:val="32"/>
          <w:szCs w:val="32"/>
        </w:rPr>
      </w:pPr>
      <w:r>
        <w:t>Notes: Data for 202</w:t>
      </w:r>
      <w:r w:rsidR="001810FF">
        <w:rPr>
          <w:lang w:val="en-AU"/>
        </w:rPr>
        <w:t>3</w:t>
      </w:r>
      <w:r>
        <w:t>-2</w:t>
      </w:r>
      <w:r w:rsidR="001810FF">
        <w:rPr>
          <w:lang w:val="en-AU"/>
        </w:rPr>
        <w:t>4</w:t>
      </w:r>
      <w:r>
        <w:t xml:space="preserve"> is preliminary; </w:t>
      </w:r>
      <w:r w:rsidR="0008009A">
        <w:t>Incidence rate is the c</w:t>
      </w:r>
      <w:r w:rsidR="0008009A" w:rsidRPr="0008009A">
        <w:rPr>
          <w:lang w:val="en-AU"/>
        </w:rPr>
        <w:t>laims per thousand filled jobs covered under workers’ compensation schemes</w:t>
      </w:r>
      <w:r w:rsidR="0008009A">
        <w:rPr>
          <w:lang w:val="en-AU"/>
        </w:rPr>
        <w:t xml:space="preserve">; </w:t>
      </w:r>
      <w:r>
        <w:t xml:space="preserve">Safe work changed their method for calculating rates so data from 2021-22 onwards represents a break in series. Interpret the trend with caution. </w:t>
      </w:r>
      <w:bookmarkStart w:id="71" w:name="_Ref206582812"/>
      <w:r w:rsidR="005D7BA9">
        <w:br w:type="page"/>
      </w:r>
    </w:p>
    <w:p w14:paraId="3B2BAAB8" w14:textId="1E6B16C0" w:rsidR="00F64E3D" w:rsidRDefault="00F64E3D" w:rsidP="00AD62AC">
      <w:pPr>
        <w:pStyle w:val="Heading1"/>
      </w:pPr>
      <w:bookmarkStart w:id="72" w:name="_Toc228276359"/>
      <w:r>
        <w:lastRenderedPageBreak/>
        <w:t>Looking ahead</w:t>
      </w:r>
      <w:bookmarkEnd w:id="71"/>
      <w:bookmarkEnd w:id="72"/>
    </w:p>
    <w:p w14:paraId="78B12877" w14:textId="55D43595" w:rsidR="00AB5A8D" w:rsidRDefault="00AB5A8D" w:rsidP="00AB5A8D">
      <w:r>
        <w:t xml:space="preserve">The Strategy identifies 4 Priority Action Areas </w:t>
      </w:r>
      <w:r w:rsidR="00EF6045">
        <w:t xml:space="preserve">to advance its goals </w:t>
      </w:r>
      <w:r>
        <w:t xml:space="preserve">– Productivity, Resilience, Decarbonisation and Data – all underpinned by Safety. The National Action Plan sets out the activities that will be completed under these areas. Over 2025-26 </w:t>
      </w:r>
      <w:r w:rsidR="009C4510">
        <w:t>governments</w:t>
      </w:r>
      <w:r>
        <w:t xml:space="preserve"> will be completing or progressing </w:t>
      </w:r>
      <w:proofErr w:type="gramStart"/>
      <w:r>
        <w:t>a number of</w:t>
      </w:r>
      <w:proofErr w:type="gramEnd"/>
      <w:r>
        <w:t xml:space="preserve"> activities</w:t>
      </w:r>
      <w:r w:rsidR="0078086C">
        <w:t>, with expected timeframes for delivery</w:t>
      </w:r>
      <w:r>
        <w:t xml:space="preserve"> set out in </w:t>
      </w:r>
      <w:r w:rsidR="001A06E4">
        <w:fldChar w:fldCharType="begin"/>
      </w:r>
      <w:r w:rsidR="001A06E4">
        <w:instrText xml:space="preserve"> REF _Ref208329439 \h </w:instrText>
      </w:r>
      <w:r w:rsidR="001A06E4">
        <w:fldChar w:fldCharType="separate"/>
      </w:r>
      <w:r w:rsidR="00E4045C">
        <w:t xml:space="preserve">Table </w:t>
      </w:r>
      <w:r w:rsidR="00E4045C">
        <w:rPr>
          <w:noProof/>
        </w:rPr>
        <w:t>2</w:t>
      </w:r>
      <w:r w:rsidR="001A06E4">
        <w:fldChar w:fldCharType="end"/>
      </w:r>
      <w:r w:rsidR="001A06E4">
        <w:t>.</w:t>
      </w:r>
      <w:r w:rsidR="00A948A3">
        <w:t xml:space="preserve"> </w:t>
      </w:r>
      <w:r w:rsidR="00A948A3" w:rsidRPr="00A948A3">
        <w:t xml:space="preserve">Several actions have commenced however there has been insufficient time to complete any actions since the Strategy was released. </w:t>
      </w:r>
      <w:r w:rsidR="00C47BC2">
        <w:t>The next annual report will provide an update on progress to date on actions.</w:t>
      </w:r>
      <w:r w:rsidR="00A948A3" w:rsidRPr="00A948A3">
        <w:t xml:space="preserve"> </w:t>
      </w:r>
    </w:p>
    <w:p w14:paraId="294A7924" w14:textId="5BF45F19" w:rsidR="00AB5A8D" w:rsidRDefault="001B0B3D" w:rsidP="00AB5A8D">
      <w:r>
        <w:rPr>
          <w:noProof/>
        </w:rPr>
        <w:drawing>
          <wp:inline distT="0" distB="0" distL="0" distR="0" wp14:anchorId="602A74C1" wp14:editId="4BF878EA">
            <wp:extent cx="5753100" cy="1524000"/>
            <wp:effectExtent l="0" t="0" r="0" b="0"/>
            <wp:docPr id="25" name="Picture 25" descr="The four priority action areas are Productivity, Resilience, Decarbonisation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four priority action areas are Productivity, Resilience, Decarbonisation and Dat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3100" cy="1524000"/>
                    </a:xfrm>
                    <a:prstGeom prst="rect">
                      <a:avLst/>
                    </a:prstGeom>
                    <a:noFill/>
                    <a:ln>
                      <a:noFill/>
                    </a:ln>
                  </pic:spPr>
                </pic:pic>
              </a:graphicData>
            </a:graphic>
          </wp:inline>
        </w:drawing>
      </w:r>
    </w:p>
    <w:p w14:paraId="5DECAE9E" w14:textId="61F5B1CA" w:rsidR="00F64E3D" w:rsidRDefault="001A06E4" w:rsidP="00027686">
      <w:pPr>
        <w:pStyle w:val="Caption"/>
        <w:keepNext/>
      </w:pPr>
      <w:bookmarkStart w:id="73" w:name="_Ref208329439"/>
      <w:bookmarkStart w:id="74" w:name="_Toc228276375"/>
      <w:r>
        <w:t xml:space="preserve">Table </w:t>
      </w:r>
      <w:fldSimple w:instr=" SEQ Table \* ARABIC ">
        <w:r w:rsidR="00E4045C">
          <w:rPr>
            <w:noProof/>
          </w:rPr>
          <w:t>2</w:t>
        </w:r>
      </w:fldSimple>
      <w:bookmarkEnd w:id="73"/>
      <w:r>
        <w:t xml:space="preserve"> </w:t>
      </w:r>
      <w:r w:rsidR="00414969" w:rsidRPr="00414969">
        <w:t>Summary of National Action Plan</w:t>
      </w:r>
      <w:bookmarkEnd w:id="74"/>
    </w:p>
    <w:tbl>
      <w:tblPr>
        <w:tblStyle w:val="DefaultTable1"/>
        <w:tblW w:w="9639" w:type="dxa"/>
        <w:tblLook w:val="04A0" w:firstRow="1" w:lastRow="0" w:firstColumn="1" w:lastColumn="0" w:noHBand="0" w:noVBand="1"/>
      </w:tblPr>
      <w:tblGrid>
        <w:gridCol w:w="8222"/>
        <w:gridCol w:w="1417"/>
      </w:tblGrid>
      <w:tr w:rsidR="00574AFB" w:rsidRPr="00743E95" w14:paraId="2BAC1872" w14:textId="77777777" w:rsidTr="00495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15F224A6" w14:textId="77777777" w:rsidR="00574AFB" w:rsidRPr="00743E95" w:rsidRDefault="00574AFB" w:rsidP="00E053A5">
            <w:r w:rsidRPr="00743E95">
              <w:t>Action</w:t>
            </w:r>
          </w:p>
        </w:tc>
        <w:tc>
          <w:tcPr>
            <w:tcW w:w="1417" w:type="dxa"/>
          </w:tcPr>
          <w:p w14:paraId="69ACF7D2" w14:textId="394D1C03" w:rsidR="00574AFB" w:rsidRPr="00743E95" w:rsidRDefault="00574AFB" w:rsidP="00E053A5">
            <w:pPr>
              <w:cnfStyle w:val="100000000000" w:firstRow="1" w:lastRow="0" w:firstColumn="0" w:lastColumn="0" w:oddVBand="0" w:evenVBand="0" w:oddHBand="0" w:evenHBand="0" w:firstRowFirstColumn="0" w:firstRowLastColumn="0" w:lastRowFirstColumn="0" w:lastRowLastColumn="0"/>
            </w:pPr>
            <w:r>
              <w:t>Timeframe</w:t>
            </w:r>
          </w:p>
        </w:tc>
      </w:tr>
      <w:tr w:rsidR="00574AFB" w:rsidRPr="00743E95" w14:paraId="2707CF94" w14:textId="77777777" w:rsidTr="00495C32">
        <w:tc>
          <w:tcPr>
            <w:cnfStyle w:val="001000000000" w:firstRow="0" w:lastRow="0" w:firstColumn="1" w:lastColumn="0" w:oddVBand="0" w:evenVBand="0" w:oddHBand="0" w:evenHBand="0" w:firstRowFirstColumn="0" w:firstRowLastColumn="0" w:lastRowFirstColumn="0" w:lastRowLastColumn="0"/>
            <w:tcW w:w="8222" w:type="dxa"/>
          </w:tcPr>
          <w:p w14:paraId="04328923" w14:textId="77777777" w:rsidR="00574AFB" w:rsidRPr="00743E95" w:rsidRDefault="00574AFB" w:rsidP="00E053A5">
            <w:pPr>
              <w:rPr>
                <w:b w:val="0"/>
              </w:rPr>
            </w:pPr>
            <w:r w:rsidRPr="00743E95">
              <w:t>Action 1.1</w:t>
            </w:r>
            <w:r w:rsidRPr="00743E95">
              <w:rPr>
                <w:b w:val="0"/>
              </w:rPr>
              <w:t>: Define and model the current freight and supply chain network</w:t>
            </w:r>
          </w:p>
        </w:tc>
        <w:tc>
          <w:tcPr>
            <w:tcW w:w="1417" w:type="dxa"/>
          </w:tcPr>
          <w:p w14:paraId="3692565C" w14:textId="77777777" w:rsidR="00574AFB" w:rsidRPr="00743E95" w:rsidRDefault="00574AFB" w:rsidP="00E053A5">
            <w:pPr>
              <w:cnfStyle w:val="000000000000" w:firstRow="0" w:lastRow="0" w:firstColumn="0" w:lastColumn="0" w:oddVBand="0" w:evenVBand="0" w:oddHBand="0" w:evenHBand="0" w:firstRowFirstColumn="0" w:firstRowLastColumn="0" w:lastRowFirstColumn="0" w:lastRowLastColumn="0"/>
            </w:pPr>
            <w:r w:rsidRPr="00743E95">
              <w:t>2025–26</w:t>
            </w:r>
          </w:p>
        </w:tc>
      </w:tr>
      <w:tr w:rsidR="00574AFB" w:rsidRPr="00743E95" w14:paraId="179F7001" w14:textId="77777777" w:rsidTr="00495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71B33788" w14:textId="77777777" w:rsidR="00574AFB" w:rsidRPr="00743E95" w:rsidRDefault="00574AFB" w:rsidP="00E053A5">
            <w:pPr>
              <w:rPr>
                <w:b w:val="0"/>
              </w:rPr>
            </w:pPr>
            <w:r w:rsidRPr="00743E95">
              <w:t>Action 1.2</w:t>
            </w:r>
            <w:r w:rsidRPr="00743E95">
              <w:rPr>
                <w:b w:val="0"/>
              </w:rPr>
              <w:t>: Model the ideal future freight network in 2040</w:t>
            </w:r>
          </w:p>
        </w:tc>
        <w:tc>
          <w:tcPr>
            <w:tcW w:w="1417" w:type="dxa"/>
          </w:tcPr>
          <w:p w14:paraId="1F018030" w14:textId="77777777" w:rsidR="00574AFB" w:rsidRPr="00743E95" w:rsidRDefault="00574AFB" w:rsidP="00E053A5">
            <w:pPr>
              <w:cnfStyle w:val="000000010000" w:firstRow="0" w:lastRow="0" w:firstColumn="0" w:lastColumn="0" w:oddVBand="0" w:evenVBand="0" w:oddHBand="0" w:evenHBand="1" w:firstRowFirstColumn="0" w:firstRowLastColumn="0" w:lastRowFirstColumn="0" w:lastRowLastColumn="0"/>
            </w:pPr>
            <w:r w:rsidRPr="00743E95">
              <w:t>2026–27</w:t>
            </w:r>
          </w:p>
        </w:tc>
      </w:tr>
      <w:tr w:rsidR="00574AFB" w:rsidRPr="00743E95" w14:paraId="2632E7CB" w14:textId="77777777" w:rsidTr="00495C32">
        <w:tc>
          <w:tcPr>
            <w:cnfStyle w:val="001000000000" w:firstRow="0" w:lastRow="0" w:firstColumn="1" w:lastColumn="0" w:oddVBand="0" w:evenVBand="0" w:oddHBand="0" w:evenHBand="0" w:firstRowFirstColumn="0" w:firstRowLastColumn="0" w:lastRowFirstColumn="0" w:lastRowLastColumn="0"/>
            <w:tcW w:w="8222" w:type="dxa"/>
          </w:tcPr>
          <w:p w14:paraId="5A98A38A" w14:textId="77777777" w:rsidR="00574AFB" w:rsidRPr="00743E95" w:rsidRDefault="00574AFB" w:rsidP="00E053A5">
            <w:pPr>
              <w:rPr>
                <w:b w:val="0"/>
              </w:rPr>
            </w:pPr>
            <w:r w:rsidRPr="00743E95">
              <w:t>Action 1.3</w:t>
            </w:r>
            <w:r w:rsidRPr="00743E95">
              <w:rPr>
                <w:b w:val="0"/>
              </w:rPr>
              <w:t>: Improve freight education and awareness in urban and industrial land use planning</w:t>
            </w:r>
          </w:p>
        </w:tc>
        <w:tc>
          <w:tcPr>
            <w:tcW w:w="1417" w:type="dxa"/>
          </w:tcPr>
          <w:p w14:paraId="624C5A59" w14:textId="77777777" w:rsidR="00574AFB" w:rsidRPr="00743E95" w:rsidRDefault="00574AFB" w:rsidP="00E053A5">
            <w:pPr>
              <w:cnfStyle w:val="000000000000" w:firstRow="0" w:lastRow="0" w:firstColumn="0" w:lastColumn="0" w:oddVBand="0" w:evenVBand="0" w:oddHBand="0" w:evenHBand="0" w:firstRowFirstColumn="0" w:firstRowLastColumn="0" w:lastRowFirstColumn="0" w:lastRowLastColumn="0"/>
            </w:pPr>
            <w:r w:rsidRPr="00743E95">
              <w:t>2025–26</w:t>
            </w:r>
          </w:p>
        </w:tc>
      </w:tr>
      <w:tr w:rsidR="00574AFB" w:rsidRPr="00743E95" w14:paraId="346D41B9" w14:textId="77777777" w:rsidTr="00495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09F319F6" w14:textId="77777777" w:rsidR="00574AFB" w:rsidRPr="00743E95" w:rsidRDefault="00574AFB" w:rsidP="00E053A5">
            <w:pPr>
              <w:rPr>
                <w:b w:val="0"/>
              </w:rPr>
            </w:pPr>
            <w:r w:rsidRPr="00743E95">
              <w:t>Action 1.4</w:t>
            </w:r>
            <w:r w:rsidRPr="00743E95">
              <w:rPr>
                <w:b w:val="0"/>
              </w:rPr>
              <w:t xml:space="preserve">: </w:t>
            </w:r>
            <w:bookmarkStart w:id="75" w:name="_Hlk208387434"/>
            <w:r w:rsidRPr="00743E95">
              <w:rPr>
                <w:b w:val="0"/>
              </w:rPr>
              <w:t>Promote uptake of technology to improve safety and productivity</w:t>
            </w:r>
            <w:bookmarkEnd w:id="75"/>
          </w:p>
        </w:tc>
        <w:tc>
          <w:tcPr>
            <w:tcW w:w="1417" w:type="dxa"/>
          </w:tcPr>
          <w:p w14:paraId="357DC14C" w14:textId="77777777" w:rsidR="00574AFB" w:rsidRPr="00743E95" w:rsidRDefault="00574AFB" w:rsidP="00E053A5">
            <w:pPr>
              <w:cnfStyle w:val="000000010000" w:firstRow="0" w:lastRow="0" w:firstColumn="0" w:lastColumn="0" w:oddVBand="0" w:evenVBand="0" w:oddHBand="0" w:evenHBand="1" w:firstRowFirstColumn="0" w:firstRowLastColumn="0" w:lastRowFirstColumn="0" w:lastRowLastColumn="0"/>
            </w:pPr>
            <w:r w:rsidRPr="00743E95">
              <w:t>Ongoing</w:t>
            </w:r>
          </w:p>
        </w:tc>
      </w:tr>
      <w:tr w:rsidR="00574AFB" w:rsidRPr="00743E95" w14:paraId="0E5CE66C" w14:textId="77777777" w:rsidTr="00495C32">
        <w:tc>
          <w:tcPr>
            <w:cnfStyle w:val="001000000000" w:firstRow="0" w:lastRow="0" w:firstColumn="1" w:lastColumn="0" w:oddVBand="0" w:evenVBand="0" w:oddHBand="0" w:evenHBand="0" w:firstRowFirstColumn="0" w:firstRowLastColumn="0" w:lastRowFirstColumn="0" w:lastRowLastColumn="0"/>
            <w:tcW w:w="8222" w:type="dxa"/>
          </w:tcPr>
          <w:p w14:paraId="5E7F2A20" w14:textId="77777777" w:rsidR="00574AFB" w:rsidRPr="00743E95" w:rsidRDefault="00574AFB" w:rsidP="00E053A5">
            <w:pPr>
              <w:rPr>
                <w:b w:val="0"/>
              </w:rPr>
            </w:pPr>
            <w:r w:rsidRPr="00743E95">
              <w:t>Action 2.1</w:t>
            </w:r>
            <w:r w:rsidRPr="00743E95">
              <w:rPr>
                <w:b w:val="0"/>
              </w:rPr>
              <w:t>: Develop a National Freight Resilience Plan</w:t>
            </w:r>
          </w:p>
        </w:tc>
        <w:tc>
          <w:tcPr>
            <w:tcW w:w="1417" w:type="dxa"/>
          </w:tcPr>
          <w:p w14:paraId="3189CBD1" w14:textId="77777777" w:rsidR="00574AFB" w:rsidRPr="00743E95" w:rsidRDefault="00574AFB" w:rsidP="00E053A5">
            <w:pPr>
              <w:cnfStyle w:val="000000000000" w:firstRow="0" w:lastRow="0" w:firstColumn="0" w:lastColumn="0" w:oddVBand="0" w:evenVBand="0" w:oddHBand="0" w:evenHBand="0" w:firstRowFirstColumn="0" w:firstRowLastColumn="0" w:lastRowFirstColumn="0" w:lastRowLastColumn="0"/>
            </w:pPr>
            <w:r w:rsidRPr="00743E95">
              <w:t>2025</w:t>
            </w:r>
          </w:p>
        </w:tc>
      </w:tr>
      <w:tr w:rsidR="00574AFB" w:rsidRPr="00743E95" w14:paraId="53D613E2" w14:textId="77777777" w:rsidTr="00495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1D007A61" w14:textId="77777777" w:rsidR="00574AFB" w:rsidRPr="00743E95" w:rsidRDefault="00574AFB" w:rsidP="00E053A5">
            <w:pPr>
              <w:rPr>
                <w:b w:val="0"/>
              </w:rPr>
            </w:pPr>
            <w:r w:rsidRPr="00743E95">
              <w:t>Action 2.2</w:t>
            </w:r>
            <w:r w:rsidRPr="00743E95">
              <w:rPr>
                <w:b w:val="0"/>
              </w:rPr>
              <w:t>: Conduct periodic supply chain risk and resilience modelling</w:t>
            </w:r>
          </w:p>
        </w:tc>
        <w:tc>
          <w:tcPr>
            <w:tcW w:w="1417" w:type="dxa"/>
          </w:tcPr>
          <w:p w14:paraId="56B40950" w14:textId="77777777" w:rsidR="00574AFB" w:rsidRPr="00743E95" w:rsidRDefault="00574AFB" w:rsidP="00E053A5">
            <w:pPr>
              <w:cnfStyle w:val="000000010000" w:firstRow="0" w:lastRow="0" w:firstColumn="0" w:lastColumn="0" w:oddVBand="0" w:evenVBand="0" w:oddHBand="0" w:evenHBand="1" w:firstRowFirstColumn="0" w:firstRowLastColumn="0" w:lastRowFirstColumn="0" w:lastRowLastColumn="0"/>
            </w:pPr>
            <w:r w:rsidRPr="00743E95">
              <w:t>2027–28</w:t>
            </w:r>
          </w:p>
        </w:tc>
      </w:tr>
      <w:tr w:rsidR="00574AFB" w:rsidRPr="00743E95" w14:paraId="125856BF" w14:textId="77777777" w:rsidTr="00495C32">
        <w:tc>
          <w:tcPr>
            <w:cnfStyle w:val="001000000000" w:firstRow="0" w:lastRow="0" w:firstColumn="1" w:lastColumn="0" w:oddVBand="0" w:evenVBand="0" w:oddHBand="0" w:evenHBand="0" w:firstRowFirstColumn="0" w:firstRowLastColumn="0" w:lastRowFirstColumn="0" w:lastRowLastColumn="0"/>
            <w:tcW w:w="8222" w:type="dxa"/>
          </w:tcPr>
          <w:p w14:paraId="56C5AC6D" w14:textId="77777777" w:rsidR="00574AFB" w:rsidRPr="00743E95" w:rsidRDefault="00574AFB" w:rsidP="00E053A5">
            <w:pPr>
              <w:rPr>
                <w:b w:val="0"/>
              </w:rPr>
            </w:pPr>
            <w:r w:rsidRPr="00743E95">
              <w:t>Action 2.3</w:t>
            </w:r>
            <w:r w:rsidRPr="00743E95">
              <w:rPr>
                <w:b w:val="0"/>
              </w:rPr>
              <w:t>: Develop a Freight Infrastructure Investment Framework</w:t>
            </w:r>
          </w:p>
        </w:tc>
        <w:tc>
          <w:tcPr>
            <w:tcW w:w="1417" w:type="dxa"/>
          </w:tcPr>
          <w:p w14:paraId="0A8102E2" w14:textId="77777777" w:rsidR="00574AFB" w:rsidRPr="00743E95" w:rsidRDefault="00574AFB" w:rsidP="00E053A5">
            <w:pPr>
              <w:cnfStyle w:val="000000000000" w:firstRow="0" w:lastRow="0" w:firstColumn="0" w:lastColumn="0" w:oddVBand="0" w:evenVBand="0" w:oddHBand="0" w:evenHBand="0" w:firstRowFirstColumn="0" w:firstRowLastColumn="0" w:lastRowFirstColumn="0" w:lastRowLastColumn="0"/>
            </w:pPr>
            <w:r w:rsidRPr="00743E95">
              <w:t>2025</w:t>
            </w:r>
          </w:p>
        </w:tc>
      </w:tr>
      <w:tr w:rsidR="00574AFB" w:rsidRPr="00743E95" w14:paraId="46B78E14" w14:textId="77777777" w:rsidTr="00495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62048B2B" w14:textId="77777777" w:rsidR="00574AFB" w:rsidRPr="00743E95" w:rsidRDefault="00574AFB" w:rsidP="00E053A5">
            <w:pPr>
              <w:rPr>
                <w:b w:val="0"/>
              </w:rPr>
            </w:pPr>
            <w:r w:rsidRPr="00743E95">
              <w:t>Action 2.4</w:t>
            </w:r>
            <w:r w:rsidRPr="00743E95">
              <w:rPr>
                <w:b w:val="0"/>
              </w:rPr>
              <w:t>: Conduct a current and future skills gap analysis for the freight and logistics sector</w:t>
            </w:r>
          </w:p>
        </w:tc>
        <w:tc>
          <w:tcPr>
            <w:tcW w:w="1417" w:type="dxa"/>
          </w:tcPr>
          <w:p w14:paraId="18EFE882" w14:textId="77777777" w:rsidR="00574AFB" w:rsidRPr="00743E95" w:rsidRDefault="00574AFB" w:rsidP="00E053A5">
            <w:pPr>
              <w:cnfStyle w:val="000000010000" w:firstRow="0" w:lastRow="0" w:firstColumn="0" w:lastColumn="0" w:oddVBand="0" w:evenVBand="0" w:oddHBand="0" w:evenHBand="1" w:firstRowFirstColumn="0" w:firstRowLastColumn="0" w:lastRowFirstColumn="0" w:lastRowLastColumn="0"/>
            </w:pPr>
            <w:r w:rsidRPr="00743E95">
              <w:t>2026</w:t>
            </w:r>
          </w:p>
        </w:tc>
      </w:tr>
      <w:tr w:rsidR="00574AFB" w:rsidRPr="00743E95" w14:paraId="2F5A9475" w14:textId="77777777" w:rsidTr="00495C32">
        <w:tc>
          <w:tcPr>
            <w:cnfStyle w:val="001000000000" w:firstRow="0" w:lastRow="0" w:firstColumn="1" w:lastColumn="0" w:oddVBand="0" w:evenVBand="0" w:oddHBand="0" w:evenHBand="0" w:firstRowFirstColumn="0" w:firstRowLastColumn="0" w:lastRowFirstColumn="0" w:lastRowLastColumn="0"/>
            <w:tcW w:w="8222" w:type="dxa"/>
          </w:tcPr>
          <w:p w14:paraId="0AD280B7" w14:textId="77777777" w:rsidR="00574AFB" w:rsidRPr="00743E95" w:rsidRDefault="00574AFB" w:rsidP="00E053A5">
            <w:pPr>
              <w:rPr>
                <w:b w:val="0"/>
              </w:rPr>
            </w:pPr>
            <w:r w:rsidRPr="00743E95">
              <w:t>Action 3.1</w:t>
            </w:r>
            <w:r w:rsidRPr="00743E95">
              <w:rPr>
                <w:b w:val="0"/>
              </w:rPr>
              <w:t>: Develop government and industry frameworks to collaborate on the transition to net zero</w:t>
            </w:r>
          </w:p>
        </w:tc>
        <w:tc>
          <w:tcPr>
            <w:tcW w:w="1417" w:type="dxa"/>
          </w:tcPr>
          <w:p w14:paraId="51651EC7" w14:textId="77777777" w:rsidR="00574AFB" w:rsidRPr="00743E95" w:rsidRDefault="00574AFB" w:rsidP="00E053A5">
            <w:pPr>
              <w:cnfStyle w:val="000000000000" w:firstRow="0" w:lastRow="0" w:firstColumn="0" w:lastColumn="0" w:oddVBand="0" w:evenVBand="0" w:oddHBand="0" w:evenHBand="0" w:firstRowFirstColumn="0" w:firstRowLastColumn="0" w:lastRowFirstColumn="0" w:lastRowLastColumn="0"/>
            </w:pPr>
            <w:r w:rsidRPr="00743E95">
              <w:t>2025–26</w:t>
            </w:r>
          </w:p>
        </w:tc>
      </w:tr>
      <w:tr w:rsidR="00574AFB" w:rsidRPr="00743E95" w14:paraId="71073086" w14:textId="77777777" w:rsidTr="00495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40FE1004" w14:textId="77777777" w:rsidR="00574AFB" w:rsidRPr="00743E95" w:rsidRDefault="00574AFB" w:rsidP="00E053A5">
            <w:pPr>
              <w:rPr>
                <w:b w:val="0"/>
              </w:rPr>
            </w:pPr>
            <w:r w:rsidRPr="00743E95">
              <w:t>Action 3.2</w:t>
            </w:r>
            <w:r w:rsidRPr="00743E95">
              <w:rPr>
                <w:b w:val="0"/>
              </w:rPr>
              <w:t>: Support development of a domestic low carbon liquid fuels industry</w:t>
            </w:r>
          </w:p>
        </w:tc>
        <w:tc>
          <w:tcPr>
            <w:tcW w:w="1417" w:type="dxa"/>
          </w:tcPr>
          <w:p w14:paraId="0CCB5EF9" w14:textId="77777777" w:rsidR="00574AFB" w:rsidRPr="00743E95" w:rsidRDefault="00574AFB" w:rsidP="00E053A5">
            <w:pPr>
              <w:cnfStyle w:val="000000010000" w:firstRow="0" w:lastRow="0" w:firstColumn="0" w:lastColumn="0" w:oddVBand="0" w:evenVBand="0" w:oddHBand="0" w:evenHBand="1" w:firstRowFirstColumn="0" w:firstRowLastColumn="0" w:lastRowFirstColumn="0" w:lastRowLastColumn="0"/>
            </w:pPr>
            <w:r w:rsidRPr="00743E95">
              <w:t>Ongoing</w:t>
            </w:r>
          </w:p>
        </w:tc>
      </w:tr>
      <w:tr w:rsidR="00574AFB" w:rsidRPr="00743E95" w14:paraId="5CFAEB70" w14:textId="77777777" w:rsidTr="00495C32">
        <w:tc>
          <w:tcPr>
            <w:cnfStyle w:val="001000000000" w:firstRow="0" w:lastRow="0" w:firstColumn="1" w:lastColumn="0" w:oddVBand="0" w:evenVBand="0" w:oddHBand="0" w:evenHBand="0" w:firstRowFirstColumn="0" w:firstRowLastColumn="0" w:lastRowFirstColumn="0" w:lastRowLastColumn="0"/>
            <w:tcW w:w="8222" w:type="dxa"/>
          </w:tcPr>
          <w:p w14:paraId="3BDD7C1E" w14:textId="77777777" w:rsidR="00574AFB" w:rsidRPr="00743E95" w:rsidRDefault="00574AFB" w:rsidP="00E053A5">
            <w:pPr>
              <w:rPr>
                <w:b w:val="0"/>
              </w:rPr>
            </w:pPr>
            <w:r w:rsidRPr="00743E95">
              <w:t>Action 3.3</w:t>
            </w:r>
            <w:r w:rsidRPr="00743E95">
              <w:rPr>
                <w:b w:val="0"/>
              </w:rPr>
              <w:t>: Conduct safety research on batteries and zero emission power technologies for freight vehicles and locomotives</w:t>
            </w:r>
          </w:p>
        </w:tc>
        <w:tc>
          <w:tcPr>
            <w:tcW w:w="1417" w:type="dxa"/>
          </w:tcPr>
          <w:p w14:paraId="0A439013" w14:textId="77777777" w:rsidR="00574AFB" w:rsidRPr="00743E95" w:rsidRDefault="00574AFB" w:rsidP="00E053A5">
            <w:pPr>
              <w:cnfStyle w:val="000000000000" w:firstRow="0" w:lastRow="0" w:firstColumn="0" w:lastColumn="0" w:oddVBand="0" w:evenVBand="0" w:oddHBand="0" w:evenHBand="0" w:firstRowFirstColumn="0" w:firstRowLastColumn="0" w:lastRowFirstColumn="0" w:lastRowLastColumn="0"/>
            </w:pPr>
            <w:r w:rsidRPr="00743E95">
              <w:t>2025–26</w:t>
            </w:r>
          </w:p>
        </w:tc>
      </w:tr>
      <w:tr w:rsidR="00574AFB" w:rsidRPr="00743E95" w14:paraId="6EAC9EDE" w14:textId="77777777" w:rsidTr="00495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21270CEB" w14:textId="77777777" w:rsidR="00574AFB" w:rsidRPr="00743E95" w:rsidRDefault="00574AFB" w:rsidP="00E053A5">
            <w:pPr>
              <w:rPr>
                <w:b w:val="0"/>
              </w:rPr>
            </w:pPr>
            <w:r w:rsidRPr="00743E95">
              <w:t>Action 4.1</w:t>
            </w:r>
            <w:r w:rsidRPr="00743E95">
              <w:rPr>
                <w:b w:val="0"/>
              </w:rPr>
              <w:t>: Develop a data development plan to support the National Freight Data Hub</w:t>
            </w:r>
          </w:p>
        </w:tc>
        <w:tc>
          <w:tcPr>
            <w:tcW w:w="1417" w:type="dxa"/>
          </w:tcPr>
          <w:p w14:paraId="00B65A23" w14:textId="77777777" w:rsidR="00574AFB" w:rsidRPr="00743E95" w:rsidRDefault="00574AFB" w:rsidP="00E053A5">
            <w:pPr>
              <w:cnfStyle w:val="000000010000" w:firstRow="0" w:lastRow="0" w:firstColumn="0" w:lastColumn="0" w:oddVBand="0" w:evenVBand="0" w:oddHBand="0" w:evenHBand="1" w:firstRowFirstColumn="0" w:firstRowLastColumn="0" w:lastRowFirstColumn="0" w:lastRowLastColumn="0"/>
            </w:pPr>
            <w:r w:rsidRPr="00743E95">
              <w:t>2025–26</w:t>
            </w:r>
          </w:p>
        </w:tc>
      </w:tr>
      <w:tr w:rsidR="00574AFB" w:rsidRPr="00743E95" w14:paraId="7F305D54" w14:textId="77777777" w:rsidTr="00495C32">
        <w:tc>
          <w:tcPr>
            <w:cnfStyle w:val="001000000000" w:firstRow="0" w:lastRow="0" w:firstColumn="1" w:lastColumn="0" w:oddVBand="0" w:evenVBand="0" w:oddHBand="0" w:evenHBand="0" w:firstRowFirstColumn="0" w:firstRowLastColumn="0" w:lastRowFirstColumn="0" w:lastRowLastColumn="0"/>
            <w:tcW w:w="8222" w:type="dxa"/>
          </w:tcPr>
          <w:p w14:paraId="6F57A6A7" w14:textId="77777777" w:rsidR="00574AFB" w:rsidRPr="00743E95" w:rsidRDefault="00574AFB" w:rsidP="00E053A5">
            <w:pPr>
              <w:rPr>
                <w:b w:val="0"/>
              </w:rPr>
            </w:pPr>
            <w:r w:rsidRPr="00743E95">
              <w:t>Action 4.2</w:t>
            </w:r>
            <w:r w:rsidRPr="00743E95">
              <w:rPr>
                <w:b w:val="0"/>
              </w:rPr>
              <w:t>: Quantify the economic significance of the supply chain and freight logistics industry to Australia</w:t>
            </w:r>
          </w:p>
        </w:tc>
        <w:tc>
          <w:tcPr>
            <w:tcW w:w="1417" w:type="dxa"/>
          </w:tcPr>
          <w:p w14:paraId="15FF536E" w14:textId="77777777" w:rsidR="00574AFB" w:rsidRPr="00743E95" w:rsidRDefault="00574AFB" w:rsidP="00E053A5">
            <w:pPr>
              <w:cnfStyle w:val="000000000000" w:firstRow="0" w:lastRow="0" w:firstColumn="0" w:lastColumn="0" w:oddVBand="0" w:evenVBand="0" w:oddHBand="0" w:evenHBand="0" w:firstRowFirstColumn="0" w:firstRowLastColumn="0" w:lastRowFirstColumn="0" w:lastRowLastColumn="0"/>
            </w:pPr>
            <w:r w:rsidRPr="00743E95">
              <w:t>2025</w:t>
            </w:r>
          </w:p>
        </w:tc>
      </w:tr>
      <w:tr w:rsidR="00574AFB" w:rsidRPr="00743E95" w14:paraId="46555061" w14:textId="77777777" w:rsidTr="00495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7D794C75" w14:textId="77777777" w:rsidR="00574AFB" w:rsidRPr="00743E95" w:rsidRDefault="00574AFB" w:rsidP="00E053A5">
            <w:pPr>
              <w:rPr>
                <w:b w:val="0"/>
              </w:rPr>
            </w:pPr>
            <w:r w:rsidRPr="00743E95">
              <w:t>Action 4.3</w:t>
            </w:r>
            <w:r w:rsidRPr="00743E95">
              <w:rPr>
                <w:b w:val="0"/>
              </w:rPr>
              <w:t>: Develop additional key performance measures for future inclusion in the Strategy</w:t>
            </w:r>
          </w:p>
        </w:tc>
        <w:tc>
          <w:tcPr>
            <w:tcW w:w="1417" w:type="dxa"/>
          </w:tcPr>
          <w:p w14:paraId="2DEF09BD" w14:textId="77777777" w:rsidR="00574AFB" w:rsidRPr="00743E95" w:rsidRDefault="00574AFB" w:rsidP="00E053A5">
            <w:pPr>
              <w:cnfStyle w:val="000000010000" w:firstRow="0" w:lastRow="0" w:firstColumn="0" w:lastColumn="0" w:oddVBand="0" w:evenVBand="0" w:oddHBand="0" w:evenHBand="1" w:firstRowFirstColumn="0" w:firstRowLastColumn="0" w:lastRowFirstColumn="0" w:lastRowLastColumn="0"/>
            </w:pPr>
            <w:r w:rsidRPr="00743E95">
              <w:t>2026–2</w:t>
            </w:r>
            <w:r>
              <w:t>7</w:t>
            </w:r>
          </w:p>
        </w:tc>
      </w:tr>
    </w:tbl>
    <w:bookmarkEnd w:id="22"/>
    <w:p w14:paraId="7419F469" w14:textId="624528B9" w:rsidR="00540B3B" w:rsidRPr="00A66355" w:rsidRDefault="00540B3B" w:rsidP="00B36439">
      <w:r>
        <w:rPr>
          <w:noProof/>
        </w:rPr>
        <w:lastRenderedPageBreak/>
        <w:drawing>
          <wp:inline distT="0" distB="0" distL="0" distR="0" wp14:anchorId="13ADC8C2" wp14:editId="4EE60101">
            <wp:extent cx="6256800" cy="4694400"/>
            <wp:effectExtent l="0" t="0" r="0" b="0"/>
            <wp:docPr id="75756016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60160" name="Picture 10">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56800" cy="4694400"/>
                    </a:xfrm>
                    <a:prstGeom prst="rect">
                      <a:avLst/>
                    </a:prstGeom>
                    <a:noFill/>
                    <a:ln>
                      <a:noFill/>
                    </a:ln>
                  </pic:spPr>
                </pic:pic>
              </a:graphicData>
            </a:graphic>
          </wp:inline>
        </w:drawing>
      </w:r>
    </w:p>
    <w:sectPr w:rsidR="00540B3B" w:rsidRPr="00A66355" w:rsidSect="00A66355">
      <w:pgSz w:w="11906" w:h="16838" w:code="9"/>
      <w:pgMar w:top="1021" w:right="1021" w:bottom="1021" w:left="1021"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FD00D" w14:textId="77777777" w:rsidR="00B42DC1" w:rsidRDefault="00B42DC1" w:rsidP="00A66355">
      <w:pPr>
        <w:spacing w:after="0" w:line="240" w:lineRule="auto"/>
      </w:pPr>
      <w:r>
        <w:separator/>
      </w:r>
    </w:p>
  </w:endnote>
  <w:endnote w:type="continuationSeparator" w:id="0">
    <w:p w14:paraId="49542A18" w14:textId="77777777" w:rsidR="00B42DC1" w:rsidRDefault="00B42DC1" w:rsidP="00A66355">
      <w:pPr>
        <w:spacing w:after="0" w:line="240" w:lineRule="auto"/>
      </w:pPr>
      <w:r>
        <w:continuationSeparator/>
      </w:r>
    </w:p>
  </w:endnote>
  <w:endnote w:type="continuationNotice" w:id="1">
    <w:p w14:paraId="6F9FA6C7" w14:textId="77777777" w:rsidR="00B42DC1" w:rsidRDefault="00B42D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8B9A6" w14:textId="35E90286" w:rsidR="00141647" w:rsidRDefault="00141647">
    <w:pPr>
      <w:pStyle w:val="Footer"/>
    </w:pPr>
    <w:r>
      <w:rPr>
        <w:noProof/>
      </w:rPr>
      <mc:AlternateContent>
        <mc:Choice Requires="wps">
          <w:drawing>
            <wp:anchor distT="0" distB="0" distL="0" distR="0" simplePos="0" relativeHeight="251658244" behindDoc="0" locked="0" layoutInCell="1" allowOverlap="1" wp14:anchorId="4712ABE4" wp14:editId="1943F103">
              <wp:simplePos x="635" y="635"/>
              <wp:positionH relativeFrom="page">
                <wp:align>center</wp:align>
              </wp:positionH>
              <wp:positionV relativeFrom="page">
                <wp:align>bottom</wp:align>
              </wp:positionV>
              <wp:extent cx="643255" cy="429260"/>
              <wp:effectExtent l="0" t="0" r="4445" b="0"/>
              <wp:wrapNone/>
              <wp:docPr id="68253049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429260"/>
                      </a:xfrm>
                      <a:prstGeom prst="rect">
                        <a:avLst/>
                      </a:prstGeom>
                      <a:noFill/>
                      <a:ln>
                        <a:noFill/>
                      </a:ln>
                    </wps:spPr>
                    <wps:txbx>
                      <w:txbxContent>
                        <w:p w14:paraId="033B8754" w14:textId="1DC341E3" w:rsidR="00141647" w:rsidRPr="00141647" w:rsidRDefault="00141647" w:rsidP="00141647">
                          <w:pPr>
                            <w:spacing w:after="0"/>
                            <w:rPr>
                              <w:rFonts w:ascii="Calibri" w:eastAsia="Calibri" w:hAnsi="Calibri" w:cs="Calibri"/>
                              <w:noProof/>
                              <w:color w:val="FF0000"/>
                              <w:sz w:val="28"/>
                              <w:szCs w:val="28"/>
                            </w:rPr>
                          </w:pPr>
                          <w:r w:rsidRPr="00141647">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12ABE4" id="_x0000_t202" coordsize="21600,21600" o:spt="202" path="m,l,21600r21600,l21600,xe">
              <v:stroke joinstyle="miter"/>
              <v:path gradientshapeok="t" o:connecttype="rect"/>
            </v:shapetype>
            <v:shape id="Text Box 8" o:spid="_x0000_s1027" type="#_x0000_t202" alt="OFFICIAL" style="position:absolute;margin-left:0;margin-top:0;width:50.65pt;height:33.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" filled="f" stroked="f">
              <v:textbox style="mso-fit-shape-to-text:t" inset="0,0,0,15pt">
                <w:txbxContent>
                  <w:p w14:paraId="033B8754" w14:textId="1DC341E3" w:rsidR="00141647" w:rsidRPr="00141647" w:rsidRDefault="00141647" w:rsidP="00141647">
                    <w:pPr>
                      <w:spacing w:after="0"/>
                      <w:rPr>
                        <w:rFonts w:ascii="Calibri" w:eastAsia="Calibri" w:hAnsi="Calibri" w:cs="Calibri"/>
                        <w:noProof/>
                        <w:color w:val="FF0000"/>
                        <w:sz w:val="28"/>
                        <w:szCs w:val="28"/>
                      </w:rPr>
                    </w:pPr>
                    <w:r w:rsidRPr="00141647">
                      <w:rPr>
                        <w:rFonts w:ascii="Calibri" w:eastAsia="Calibri" w:hAnsi="Calibri" w:cs="Calibri"/>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64BAF" w14:textId="008EF553" w:rsidR="006D21B8" w:rsidRPr="003C67CE" w:rsidRDefault="006D21B8" w:rsidP="00D86E40">
    <w:pPr>
      <w:pStyle w:val="SecurityMark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D9B60" w14:textId="5B71EEB5" w:rsidR="006D21B8" w:rsidRDefault="00141647" w:rsidP="00BA24FB">
    <w:pPr>
      <w:pStyle w:val="Footer"/>
      <w:spacing w:before="360"/>
    </w:pPr>
    <w:r>
      <w:rPr>
        <w:noProof/>
      </w:rPr>
      <mc:AlternateContent>
        <mc:Choice Requires="wps">
          <w:drawing>
            <wp:anchor distT="0" distB="0" distL="0" distR="0" simplePos="0" relativeHeight="251658243" behindDoc="0" locked="0" layoutInCell="1" allowOverlap="1" wp14:anchorId="3CDF6ED8" wp14:editId="50C327D5">
              <wp:simplePos x="635" y="635"/>
              <wp:positionH relativeFrom="page">
                <wp:align>center</wp:align>
              </wp:positionH>
              <wp:positionV relativeFrom="page">
                <wp:align>bottom</wp:align>
              </wp:positionV>
              <wp:extent cx="643255" cy="429260"/>
              <wp:effectExtent l="0" t="0" r="4445" b="0"/>
              <wp:wrapNone/>
              <wp:docPr id="185605865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429260"/>
                      </a:xfrm>
                      <a:prstGeom prst="rect">
                        <a:avLst/>
                      </a:prstGeom>
                      <a:noFill/>
                      <a:ln>
                        <a:noFill/>
                      </a:ln>
                    </wps:spPr>
                    <wps:txbx>
                      <w:txbxContent>
                        <w:p w14:paraId="0F06078B" w14:textId="755C281A" w:rsidR="00141647" w:rsidRPr="00141647" w:rsidRDefault="00141647" w:rsidP="00141647">
                          <w:pPr>
                            <w:spacing w:after="0"/>
                            <w:rPr>
                              <w:rFonts w:ascii="Calibri" w:eastAsia="Calibri" w:hAnsi="Calibri" w:cs="Calibri"/>
                              <w:noProof/>
                              <w:color w:val="FF0000"/>
                              <w:sz w:val="28"/>
                              <w:szCs w:val="28"/>
                            </w:rPr>
                          </w:pPr>
                          <w:r w:rsidRPr="00141647">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DF6ED8" id="_x0000_t202" coordsize="21600,21600" o:spt="202" path="m,l,21600r21600,l21600,xe">
              <v:stroke joinstyle="miter"/>
              <v:path gradientshapeok="t" o:connecttype="rect"/>
            </v:shapetype>
            <v:shape id="Text Box 7" o:spid="_x0000_s1029" type="#_x0000_t202" alt="OFFICIAL" style="position:absolute;margin-left:0;margin-top:0;width:50.65pt;height:33.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" filled="f" stroked="f">
              <v:textbox style="mso-fit-shape-to-text:t" inset="0,0,0,15pt">
                <w:txbxContent>
                  <w:p w14:paraId="0F06078B" w14:textId="755C281A" w:rsidR="00141647" w:rsidRPr="00141647" w:rsidRDefault="00141647" w:rsidP="00141647">
                    <w:pPr>
                      <w:spacing w:after="0"/>
                      <w:rPr>
                        <w:rFonts w:ascii="Calibri" w:eastAsia="Calibri" w:hAnsi="Calibri" w:cs="Calibri"/>
                        <w:noProof/>
                        <w:color w:val="FF0000"/>
                        <w:sz w:val="28"/>
                        <w:szCs w:val="28"/>
                      </w:rPr>
                    </w:pPr>
                    <w:r w:rsidRPr="00141647">
                      <w:rPr>
                        <w:rFonts w:ascii="Calibri" w:eastAsia="Calibri" w:hAnsi="Calibri" w:cs="Calibri"/>
                        <w:noProof/>
                        <w:color w:val="FF0000"/>
                        <w:sz w:val="28"/>
                        <w:szCs w:val="28"/>
                      </w:rPr>
                      <w:t>OFFICIAL</w:t>
                    </w:r>
                  </w:p>
                </w:txbxContent>
              </v:textbox>
              <w10:wrap anchorx="page" anchory="page"/>
            </v:shape>
          </w:pict>
        </mc:Fallback>
      </mc:AlternateContent>
    </w:r>
  </w:p>
  <w:p w14:paraId="27AE880B" w14:textId="49820675" w:rsidR="006D21B8" w:rsidRDefault="00000000" w:rsidP="00827492">
    <w:pPr>
      <w:pStyle w:val="SecurityMarker"/>
    </w:pPr>
    <w:sdt>
      <w:sdtPr>
        <w:alias w:val="Status"/>
        <w:tag w:val=""/>
        <w:id w:val="-1420637097"/>
        <w:dataBinding w:prefixMappings="xmlns:ns0='http://purl.org/dc/elements/1.1/' xmlns:ns1='http://schemas.openxmlformats.org/package/2006/metadata/core-properties' " w:xpath="/ns1:coreProperties[1]/ns1:contentStatus[1]" w:storeItemID="{6C3C8BC8-F283-45AE-878A-BAB7291924A1}"/>
        <w:text/>
      </w:sdtPr>
      <w:sdtContent>
        <w:r w:rsidR="00C56D2E">
          <w:t>OFFICIAL</w:t>
        </w:r>
      </w:sdtContent>
    </w:sdt>
    <w:r w:rsidR="006D21B8">
      <w:rPr>
        <w:noProof/>
        <w:lang w:eastAsia="en-AU"/>
      </w:rPr>
      <mc:AlternateContent>
        <mc:Choice Requires="wps">
          <w:drawing>
            <wp:inline distT="0" distB="0" distL="0" distR="0" wp14:anchorId="4B836E68" wp14:editId="11A8F9E1">
              <wp:extent cx="1007640" cy="720000"/>
              <wp:effectExtent l="0" t="0" r="0" b="0"/>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75A1C704" w14:textId="77777777" w:rsidR="006D21B8" w:rsidRDefault="006D21B8"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5A5CE301" w14:textId="77777777" w:rsidR="006D21B8" w:rsidRPr="00077FE0" w:rsidRDefault="006D21B8" w:rsidP="00827492">
                          <w:pPr>
                            <w:pStyle w:val="SecurityMarke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inline>
          </w:drawing>
        </mc:Choice>
        <mc:Fallback>
          <w:pict>
            <v:shape w14:anchorId="4B836E68" id="Text Box 10" o:spid="_x0000_s1030" type="#_x0000_t202" alt="&quot;&quot;" style="width:79.35pt;height:56.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" filled="f" stroked="f" strokeweight=".5pt">
              <v:textbox inset="0,0,18mm,7mm">
                <w:txbxContent>
                  <w:p w14:paraId="75A1C704" w14:textId="77777777" w:rsidR="006D21B8" w:rsidRDefault="006D21B8"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5A5CE301" w14:textId="77777777" w:rsidR="006D21B8" w:rsidRPr="00077FE0" w:rsidRDefault="006D21B8" w:rsidP="00827492">
                    <w:pPr>
                      <w:pStyle w:val="SecurityMarker"/>
                    </w:pP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01274" w14:textId="300B19F6" w:rsidR="006D21B8" w:rsidRPr="00654E6E" w:rsidRDefault="00000000" w:rsidP="00582779">
    <w:pPr>
      <w:pStyle w:val="Footer"/>
      <w:tabs>
        <w:tab w:val="clear" w:pos="4513"/>
        <w:tab w:val="clear" w:pos="9026"/>
        <w:tab w:val="center" w:pos="4820"/>
        <w:tab w:val="right" w:pos="14742"/>
      </w:tabs>
      <w:spacing w:after="160"/>
      <w:jc w:val="right"/>
    </w:pPr>
    <w:sdt>
      <w:sdtPr>
        <w:rPr>
          <w:sz w:val="18"/>
          <w:szCs w:val="18"/>
          <w:lang w:val="en-US"/>
        </w:rPr>
        <w:alias w:val="Title"/>
        <w:tag w:val=""/>
        <w:id w:val="874962478"/>
        <w:dataBinding w:prefixMappings="xmlns:ns0='http://purl.org/dc/elements/1.1/' xmlns:ns1='http://schemas.openxmlformats.org/package/2006/metadata/core-properties' " w:xpath="/ns1:coreProperties[1]/ns0:title[1]" w:storeItemID="{6C3C8BC8-F283-45AE-878A-BAB7291924A1}"/>
        <w:text/>
      </w:sdtPr>
      <w:sdtContent>
        <w:r w:rsidR="003039D9">
          <w:rPr>
            <w:sz w:val="18"/>
            <w:szCs w:val="18"/>
            <w:lang w:val="en-US"/>
          </w:rPr>
          <w:t>National Freight and Supply Chain Strategy</w:t>
        </w:r>
      </w:sdtContent>
    </w:sdt>
    <w:r w:rsidR="00582779">
      <w:rPr>
        <w:sz w:val="18"/>
        <w:szCs w:val="18"/>
        <w:lang w:val="en-US"/>
      </w:rPr>
      <w:t xml:space="preserve">  |  </w:t>
    </w:r>
    <w:r w:rsidR="006D21B8" w:rsidRPr="00654E6E">
      <w:rPr>
        <w:b/>
        <w:sz w:val="18"/>
        <w:szCs w:val="18"/>
        <w:lang w:val="en-US"/>
      </w:rPr>
      <w:t>Release date:</w:t>
    </w:r>
    <w:r w:rsidR="006D21B8" w:rsidRPr="00654E6E">
      <w:rPr>
        <w:sz w:val="18"/>
        <w:szCs w:val="18"/>
        <w:lang w:val="en-US"/>
      </w:rPr>
      <w:t xml:space="preserve"> </w:t>
    </w:r>
    <w:sdt>
      <w:sdtPr>
        <w:rPr>
          <w:sz w:val="18"/>
          <w:szCs w:val="18"/>
          <w:lang w:val="en-US"/>
        </w:rPr>
        <w:alias w:val="Category"/>
        <w:id w:val="1232892812"/>
        <w:placeholder>
          <w:docPart w:val="79C966263859460EA0639CF773E1DA6A"/>
        </w:placeholder>
        <w:dataBinding w:prefixMappings="xmlns:ns0='http://purl.org/dc/elements/1.1/' xmlns:ns1='http://schemas.openxmlformats.org/package/2006/metadata/core-properties' " w:xpath="/ns1:coreProperties[1]/ns1:category[1]" w:storeItemID="{6C3C8BC8-F283-45AE-878A-BAB7291924A1}"/>
        <w:text/>
      </w:sdtPr>
      <w:sdtContent>
        <w:r w:rsidR="00632CFB">
          <w:rPr>
            <w:sz w:val="18"/>
            <w:szCs w:val="18"/>
            <w:lang w:val="en-US"/>
          </w:rPr>
          <w:t>06</w:t>
        </w:r>
        <w:r w:rsidR="006D21B8">
          <w:rPr>
            <w:sz w:val="18"/>
            <w:szCs w:val="18"/>
            <w:lang w:val="en-US"/>
          </w:rPr>
          <w:t>/</w:t>
        </w:r>
        <w:r w:rsidR="00B77D64">
          <w:rPr>
            <w:sz w:val="18"/>
            <w:szCs w:val="18"/>
            <w:lang w:val="en-US"/>
          </w:rPr>
          <w:t>202</w:t>
        </w:r>
        <w:r w:rsidR="00632CFB">
          <w:rPr>
            <w:sz w:val="18"/>
            <w:szCs w:val="18"/>
            <w:lang w:val="en-US"/>
          </w:rPr>
          <w:t>6</w:t>
        </w:r>
      </w:sdtContent>
    </w:sdt>
    <w:r w:rsidR="006D21B8" w:rsidRPr="00654E6E">
      <w:rPr>
        <w:sz w:val="18"/>
        <w:szCs w:val="18"/>
        <w:lang w:val="en-US"/>
      </w:rPr>
      <w:t xml:space="preserve"> | </w:t>
    </w:r>
    <w:r w:rsidR="006D21B8" w:rsidRPr="00654E6E">
      <w:rPr>
        <w:b/>
        <w:sz w:val="18"/>
        <w:szCs w:val="18"/>
        <w:lang w:val="en-US"/>
      </w:rPr>
      <w:t>Version</w:t>
    </w:r>
    <w:r w:rsidR="006D21B8" w:rsidRPr="00654E6E">
      <w:rPr>
        <w:sz w:val="18"/>
        <w:szCs w:val="18"/>
        <w:lang w:val="en-US"/>
      </w:rPr>
      <w:t xml:space="preserve">: </w:t>
    </w:r>
    <w:sdt>
      <w:sdtPr>
        <w:rPr>
          <w:sz w:val="18"/>
          <w:szCs w:val="18"/>
          <w:lang w:val="en-US"/>
        </w:rPr>
        <w:alias w:val="Keywords"/>
        <w:id w:val="-1400442376"/>
        <w:placeholder>
          <w:docPart w:val="D14B089AA5EB4865B8C57335E4F9765D"/>
        </w:placeholder>
        <w:dataBinding w:prefixMappings="xmlns:ns0='http://purl.org/dc/elements/1.1/' xmlns:ns1='http://schemas.openxmlformats.org/package/2006/metadata/core-properties' " w:xpath="/ns1:coreProperties[1]/ns1:keywords[1]" w:storeItemID="{6C3C8BC8-F283-45AE-878A-BAB7291924A1}"/>
        <w:text/>
      </w:sdtPr>
      <w:sdtContent>
        <w:r w:rsidR="00B77D64">
          <w:rPr>
            <w:sz w:val="18"/>
            <w:szCs w:val="18"/>
            <w:lang w:val="en-US"/>
          </w:rPr>
          <w:t>1.0</w:t>
        </w:r>
      </w:sdtContent>
    </w:sdt>
    <w:r w:rsidR="00582779">
      <w:rPr>
        <w:sz w:val="18"/>
        <w:szCs w:val="18"/>
        <w:lang w:val="en-US"/>
      </w:rPr>
      <w:t xml:space="preserve">  |  </w:t>
    </w:r>
    <w:r w:rsidR="006D21B8" w:rsidRPr="00654E6E">
      <w:rPr>
        <w:sz w:val="18"/>
        <w:szCs w:val="18"/>
        <w:lang w:val="en-US"/>
      </w:rPr>
      <w:t xml:space="preserve">Page </w:t>
    </w:r>
    <w:r w:rsidR="006D21B8" w:rsidRPr="00654E6E">
      <w:rPr>
        <w:sz w:val="18"/>
        <w:szCs w:val="18"/>
        <w:lang w:val="en-US"/>
      </w:rPr>
      <w:fldChar w:fldCharType="begin"/>
    </w:r>
    <w:r w:rsidR="006D21B8" w:rsidRPr="00654E6E">
      <w:rPr>
        <w:sz w:val="18"/>
        <w:szCs w:val="18"/>
        <w:lang w:val="en-US"/>
      </w:rPr>
      <w:instrText xml:space="preserve"> PAGE   \* MERGEFORMAT </w:instrText>
    </w:r>
    <w:r w:rsidR="006D21B8" w:rsidRPr="00654E6E">
      <w:rPr>
        <w:sz w:val="18"/>
        <w:szCs w:val="18"/>
        <w:lang w:val="en-US"/>
      </w:rPr>
      <w:fldChar w:fldCharType="separate"/>
    </w:r>
    <w:r w:rsidR="006D21B8">
      <w:rPr>
        <w:sz w:val="18"/>
        <w:szCs w:val="18"/>
        <w:lang w:val="en-US"/>
      </w:rPr>
      <w:t>2</w:t>
    </w:r>
    <w:r w:rsidR="006D21B8" w:rsidRPr="00654E6E">
      <w:rPr>
        <w:noProof/>
        <w:sz w:val="18"/>
        <w:szCs w:val="18"/>
        <w:lang w:val="en-US"/>
      </w:rPr>
      <w:fldChar w:fldCharType="end"/>
    </w:r>
    <w:r w:rsidR="006D21B8" w:rsidRPr="00654E6E">
      <w:rPr>
        <w:noProof/>
        <w:sz w:val="18"/>
        <w:szCs w:val="18"/>
        <w:lang w:val="en-US"/>
      </w:rPr>
      <w:t xml:space="preserve"> of </w:t>
    </w:r>
    <w:r w:rsidR="006D21B8" w:rsidRPr="00654E6E">
      <w:rPr>
        <w:noProof/>
        <w:sz w:val="18"/>
        <w:szCs w:val="18"/>
        <w:lang w:val="en-US"/>
      </w:rPr>
      <w:fldChar w:fldCharType="begin"/>
    </w:r>
    <w:r w:rsidR="006D21B8" w:rsidRPr="00654E6E">
      <w:rPr>
        <w:noProof/>
        <w:sz w:val="18"/>
        <w:szCs w:val="18"/>
        <w:lang w:val="en-US"/>
      </w:rPr>
      <w:instrText xml:space="preserve"> NUMPAGES   \* MERGEFORMAT </w:instrText>
    </w:r>
    <w:r w:rsidR="006D21B8" w:rsidRPr="00654E6E">
      <w:rPr>
        <w:noProof/>
        <w:sz w:val="18"/>
        <w:szCs w:val="18"/>
        <w:lang w:val="en-US"/>
      </w:rPr>
      <w:fldChar w:fldCharType="separate"/>
    </w:r>
    <w:r w:rsidR="006D21B8">
      <w:rPr>
        <w:noProof/>
        <w:sz w:val="18"/>
        <w:szCs w:val="18"/>
        <w:lang w:val="en-US"/>
      </w:rPr>
      <w:t>12</w:t>
    </w:r>
    <w:r w:rsidR="006D21B8" w:rsidRPr="00654E6E">
      <w:rPr>
        <w:noProof/>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09421" w14:textId="77777777" w:rsidR="00B42DC1" w:rsidRPr="00A66355" w:rsidRDefault="00B42DC1" w:rsidP="00A66355">
      <w:pPr>
        <w:spacing w:before="300"/>
        <w:rPr>
          <w:color w:val="008089" w:themeColor="accent2"/>
        </w:rPr>
      </w:pPr>
      <w:r w:rsidRPr="004063DE">
        <w:rPr>
          <w:color w:val="004044" w:themeColor="accent2" w:themeShade="80"/>
        </w:rPr>
        <w:t>----------</w:t>
      </w:r>
    </w:p>
  </w:footnote>
  <w:footnote w:type="continuationSeparator" w:id="0">
    <w:p w14:paraId="313BD43D" w14:textId="77777777" w:rsidR="00B42DC1" w:rsidRDefault="00B42DC1" w:rsidP="00A66355">
      <w:pPr>
        <w:spacing w:after="0" w:line="240" w:lineRule="auto"/>
      </w:pPr>
      <w:r>
        <w:continuationSeparator/>
      </w:r>
    </w:p>
  </w:footnote>
  <w:footnote w:type="continuationNotice" w:id="1">
    <w:p w14:paraId="31619808" w14:textId="77777777" w:rsidR="00B42DC1" w:rsidRDefault="00B42DC1">
      <w:pPr>
        <w:spacing w:after="0" w:line="240" w:lineRule="auto"/>
      </w:pPr>
    </w:p>
  </w:footnote>
  <w:footnote w:id="2">
    <w:p w14:paraId="7C5182CC" w14:textId="77777777" w:rsidR="00E42999" w:rsidRDefault="00E42999" w:rsidP="00E42999">
      <w:pPr>
        <w:pStyle w:val="FootnoteText"/>
      </w:pPr>
      <w:r>
        <w:rPr>
          <w:rStyle w:val="FootnoteReference"/>
        </w:rPr>
        <w:footnoteRef/>
      </w:r>
      <w:r>
        <w:t xml:space="preserve"> BITRE, 2022, </w:t>
      </w:r>
      <w:hyperlink r:id="rId1" w:history="1">
        <w:r w:rsidRPr="001151DA">
          <w:rPr>
            <w:rStyle w:val="Hyperlink"/>
          </w:rPr>
          <w:t>Australian aggregate freight forecasts – 2022 update</w:t>
        </w:r>
      </w:hyperlink>
      <w:r>
        <w:t>, BITRE website.</w:t>
      </w:r>
    </w:p>
  </w:footnote>
  <w:footnote w:id="3">
    <w:p w14:paraId="5E13D8E6" w14:textId="77777777" w:rsidR="00E42999" w:rsidRDefault="00E42999" w:rsidP="00E42999">
      <w:pPr>
        <w:pStyle w:val="FootnoteText"/>
      </w:pPr>
      <w:r>
        <w:rPr>
          <w:rStyle w:val="FootnoteReference"/>
        </w:rPr>
        <w:footnoteRef/>
      </w:r>
      <w:r>
        <w:t xml:space="preserve"> BITRE, 2023, </w:t>
      </w:r>
      <w:hyperlink r:id="rId2" w:history="1">
        <w:r w:rsidRPr="006337E0">
          <w:rPr>
            <w:rStyle w:val="Hyperlink"/>
          </w:rPr>
          <w:t>Australian Sea Freight 2020-21</w:t>
        </w:r>
      </w:hyperlink>
      <w:r>
        <w:t>, BITRE website.</w:t>
      </w:r>
    </w:p>
  </w:footnote>
  <w:footnote w:id="4">
    <w:p w14:paraId="24C3DEBB" w14:textId="53BFF024" w:rsidR="006D21B8" w:rsidRDefault="006D21B8" w:rsidP="00DA3203">
      <w:pPr>
        <w:pStyle w:val="FootnoteText"/>
      </w:pPr>
      <w:r>
        <w:rPr>
          <w:rStyle w:val="FootnoteReference"/>
        </w:rPr>
        <w:footnoteRef/>
      </w:r>
      <w:r>
        <w:t xml:space="preserve"> BITRE 2023, </w:t>
      </w:r>
      <w:hyperlink r:id="rId3" w:history="1">
        <w:r w:rsidRPr="00DA3203">
          <w:rPr>
            <w:rStyle w:val="Hyperlink"/>
          </w:rPr>
          <w:t>Australian Infrastructure and Transport Statistics Yearbook 2023</w:t>
        </w:r>
      </w:hyperlink>
      <w:r w:rsidR="00063EAF">
        <w:t>, BITRE website</w:t>
      </w:r>
      <w:r>
        <w:t>.</w:t>
      </w:r>
    </w:p>
  </w:footnote>
  <w:footnote w:id="5">
    <w:p w14:paraId="06D3A47E" w14:textId="662CB254" w:rsidR="00646737" w:rsidRDefault="00646737">
      <w:pPr>
        <w:pStyle w:val="FootnoteText"/>
      </w:pPr>
      <w:r>
        <w:rPr>
          <w:rStyle w:val="FootnoteReference"/>
        </w:rPr>
        <w:footnoteRef/>
      </w:r>
      <w:r>
        <w:t xml:space="preserve"> Calculated by dividing the amount of emissions from a sector by the activity by mode as shown in Figures 1 to 3.</w:t>
      </w:r>
    </w:p>
  </w:footnote>
  <w:footnote w:id="6">
    <w:p w14:paraId="1B8275ED" w14:textId="77777777" w:rsidR="001C00A9" w:rsidRDefault="001C00A9" w:rsidP="001C00A9">
      <w:pPr>
        <w:pStyle w:val="FootnoteText"/>
      </w:pPr>
      <w:r>
        <w:rPr>
          <w:rStyle w:val="FootnoteReference"/>
        </w:rPr>
        <w:footnoteRef/>
      </w:r>
      <w:r>
        <w:t xml:space="preserve"> Road emissions are not available broken down by bulk and non-bulk.</w:t>
      </w:r>
    </w:p>
  </w:footnote>
  <w:footnote w:id="7">
    <w:p w14:paraId="6EA428F9" w14:textId="668F454A" w:rsidR="006D21B8" w:rsidRDefault="006D21B8" w:rsidP="003048AE">
      <w:pPr>
        <w:pStyle w:val="FootnoteText"/>
      </w:pPr>
      <w:r>
        <w:rPr>
          <w:rStyle w:val="FootnoteReference"/>
        </w:rPr>
        <w:footnoteRef/>
      </w:r>
      <w:r>
        <w:t xml:space="preserve"> </w:t>
      </w:r>
      <w:r w:rsidR="00E838DA">
        <w:t xml:space="preserve">ABS 2022, </w:t>
      </w:r>
      <w:hyperlink r:id="rId4" w:history="1">
        <w:r w:rsidR="00E838DA">
          <w:rPr>
            <w:color w:val="0000FF"/>
            <w:sz w:val="20"/>
            <w:u w:val="single"/>
          </w:rPr>
          <w:t>Producer Price Indexes, Australia, December 2021</w:t>
        </w:r>
      </w:hyperlink>
    </w:p>
  </w:footnote>
  <w:footnote w:id="8">
    <w:p w14:paraId="7F029051" w14:textId="10887300" w:rsidR="00E838DA" w:rsidRDefault="00E838DA">
      <w:pPr>
        <w:pStyle w:val="FootnoteText"/>
      </w:pPr>
      <w:r>
        <w:rPr>
          <w:rStyle w:val="FootnoteReference"/>
        </w:rPr>
        <w:footnoteRef/>
      </w:r>
      <w:r>
        <w:t xml:space="preserve"> ABS 2023, </w:t>
      </w:r>
      <w:hyperlink r:id="rId5" w:anchor="services" w:history="1">
        <w:r>
          <w:rPr>
            <w:rStyle w:val="Hyperlink"/>
          </w:rPr>
          <w:t>Producer Price Indexes, Australia, December 2022</w:t>
        </w:r>
      </w:hyperlink>
      <w:r>
        <w:t>.</w:t>
      </w:r>
    </w:p>
  </w:footnote>
  <w:footnote w:id="9">
    <w:p w14:paraId="67371674" w14:textId="68B285A7" w:rsidR="00701523" w:rsidRDefault="00701523" w:rsidP="0045116C">
      <w:pPr>
        <w:pStyle w:val="FootnoteText"/>
      </w:pPr>
      <w:r>
        <w:rPr>
          <w:rStyle w:val="FootnoteReference"/>
        </w:rPr>
        <w:footnoteRef/>
      </w:r>
      <w:r>
        <w:t xml:space="preserve"> For some jurisdictions, figures may include some disruptions that are not full closures. Figures are based on latitudes and longitudes provided by jurisdictions and applied to the NLTN with a 200m buffer, so in some cases may include incidents not directly on the NLTN.</w:t>
      </w:r>
    </w:p>
  </w:footnote>
  <w:footnote w:id="10">
    <w:p w14:paraId="3875F16E" w14:textId="77777777" w:rsidR="0045116C" w:rsidRDefault="0045116C" w:rsidP="0045116C">
      <w:pPr>
        <w:pStyle w:val="FootnoteText"/>
      </w:pPr>
      <w:r>
        <w:rPr>
          <w:rStyle w:val="FootnoteReference"/>
        </w:rPr>
        <w:footnoteRef/>
      </w:r>
      <w:r>
        <w:t xml:space="preserve"> AIDR (Australian institute for Disaster Resilience) 2025, </w:t>
      </w:r>
      <w:hyperlink r:id="rId6" w:history="1">
        <w:r w:rsidRPr="00D55993">
          <w:rPr>
            <w:rStyle w:val="Hyperlink"/>
          </w:rPr>
          <w:t>Major Incidents Report 2025-25</w:t>
        </w:r>
      </w:hyperlink>
      <w:r>
        <w:t>, AIDR website.</w:t>
      </w:r>
    </w:p>
  </w:footnote>
  <w:footnote w:id="11">
    <w:p w14:paraId="0B6EFEEA" w14:textId="2E20E1ED" w:rsidR="006C4156" w:rsidRDefault="006C4156">
      <w:pPr>
        <w:pStyle w:val="FootnoteText"/>
      </w:pPr>
      <w:r>
        <w:rPr>
          <w:rStyle w:val="FootnoteReference"/>
        </w:rPr>
        <w:footnoteRef/>
      </w:r>
      <w:r>
        <w:t xml:space="preserve"> Calculated by</w:t>
      </w:r>
      <w:r w:rsidR="009859B8">
        <w:t xml:space="preserve"> </w:t>
      </w:r>
      <w:r>
        <w:t>divid</w:t>
      </w:r>
      <w:r w:rsidR="009859B8">
        <w:t>ing the number of truck fatalities/fatal crashes</w:t>
      </w:r>
      <w:r>
        <w:t xml:space="preserve"> by the </w:t>
      </w:r>
      <w:r w:rsidR="00E55B5F">
        <w:t>total vehicle kilometres travelled</w:t>
      </w:r>
      <w:r w:rsidR="009859B8">
        <w:t>.</w:t>
      </w:r>
    </w:p>
  </w:footnote>
  <w:footnote w:id="12">
    <w:p w14:paraId="382C5897" w14:textId="18F5D317" w:rsidR="00D621EA" w:rsidRDefault="00D621EA">
      <w:pPr>
        <w:pStyle w:val="FootnoteText"/>
      </w:pPr>
      <w:r>
        <w:rPr>
          <w:rStyle w:val="FootnoteReference"/>
        </w:rPr>
        <w:footnoteRef/>
      </w:r>
      <w:r>
        <w:t xml:space="preserve"> Data from the Office of the National Rail Safety Regulator does</w:t>
      </w:r>
      <w:r w:rsidR="005479B0">
        <w:t>n’t</w:t>
      </w:r>
      <w:r>
        <w:t xml:space="preserve"> distinguish between freight and passenger rail.</w:t>
      </w:r>
    </w:p>
  </w:footnote>
  <w:footnote w:id="13">
    <w:p w14:paraId="0B923111" w14:textId="70415155" w:rsidR="006D21B8" w:rsidRDefault="006D21B8">
      <w:pPr>
        <w:pStyle w:val="FootnoteText"/>
      </w:pPr>
      <w:r>
        <w:rPr>
          <w:rStyle w:val="FootnoteReference"/>
        </w:rPr>
        <w:footnoteRef/>
      </w:r>
      <w:r>
        <w:t xml:space="preserve"> Member of the public are those who have interacted with the train, either at level crossings or elsewhere on the track, without the intention of boarding as a passenger. Passengers have been excluded to reduce the number of non-freight train fatalities.</w:t>
      </w:r>
    </w:p>
  </w:footnote>
  <w:footnote w:id="14">
    <w:p w14:paraId="64818EFC" w14:textId="4B6F84F1" w:rsidR="00CF0490" w:rsidRDefault="00CF0490">
      <w:pPr>
        <w:pStyle w:val="FootnoteText"/>
      </w:pPr>
      <w:r>
        <w:rPr>
          <w:rStyle w:val="FootnoteReference"/>
        </w:rPr>
        <w:footnoteRef/>
      </w:r>
      <w:r>
        <w:t xml:space="preserve"> This industry classification includes passenger transport.</w:t>
      </w:r>
    </w:p>
  </w:footnote>
  <w:footnote w:id="15">
    <w:p w14:paraId="70B7A63C" w14:textId="0803BB12" w:rsidR="006D21B8" w:rsidRDefault="006D21B8">
      <w:pPr>
        <w:pStyle w:val="FootnoteText"/>
      </w:pPr>
      <w:r>
        <w:rPr>
          <w:rStyle w:val="FootnoteReference"/>
        </w:rPr>
        <w:footnoteRef/>
      </w:r>
      <w:r>
        <w:t xml:space="preserve"> ABS, 2025</w:t>
      </w:r>
      <w:hyperlink r:id="rId7" w:history="1">
        <w:r w:rsidRPr="00D65E99">
          <w:rPr>
            <w:rStyle w:val="Hyperlink"/>
          </w:rPr>
          <w:t>, Labour Force, Australia, Detailed, July 2025</w:t>
        </w:r>
      </w:hyperlink>
      <w:r>
        <w:t xml:space="preserve">, </w:t>
      </w:r>
      <w:r w:rsidRPr="00D65E99">
        <w:t>Table 04. Employed persons by Industry division of main job (ANZSIC) - Trend, Seasonally adjusted, and Original</w:t>
      </w:r>
      <w:r>
        <w:t>. Figures taken from Original series as at May quarter 2023.</w:t>
      </w:r>
      <w:r w:rsidRPr="00D65E99">
        <w:tab/>
      </w:r>
      <w:r w:rsidRPr="00D65E99">
        <w:tab/>
      </w:r>
      <w:r w:rsidRPr="00D65E99">
        <w:tab/>
      </w:r>
    </w:p>
  </w:footnote>
  <w:footnote w:id="16">
    <w:p w14:paraId="091ECC8E" w14:textId="67794F2D" w:rsidR="00B918E5" w:rsidRDefault="00B918E5">
      <w:pPr>
        <w:pStyle w:val="FootnoteText"/>
      </w:pPr>
      <w:r>
        <w:rPr>
          <w:rStyle w:val="FootnoteReference"/>
        </w:rPr>
        <w:footnoteRef/>
      </w:r>
      <w:r>
        <w:t xml:space="preserve"> </w:t>
      </w:r>
      <w:r w:rsidRPr="00B918E5">
        <w:t xml:space="preserve">Safe Work Australia 2025, </w:t>
      </w:r>
      <w:hyperlink r:id="rId8" w:history="1">
        <w:r w:rsidRPr="00B918E5">
          <w:rPr>
            <w:rStyle w:val="Hyperlink"/>
          </w:rPr>
          <w:t>WHS Profile: Truck drivers</w:t>
        </w:r>
      </w:hyperlink>
      <w:r w:rsidRPr="00B918E5">
        <w:t>, Safe Work website.</w:t>
      </w:r>
    </w:p>
  </w:footnote>
  <w:footnote w:id="17">
    <w:p w14:paraId="46750400" w14:textId="0BB4A8CE" w:rsidR="00CF0490" w:rsidRDefault="00CF0490">
      <w:pPr>
        <w:pStyle w:val="FootnoteText"/>
      </w:pPr>
      <w:r>
        <w:rPr>
          <w:rStyle w:val="FootnoteReference"/>
        </w:rPr>
        <w:footnoteRef/>
      </w:r>
      <w:r>
        <w:t xml:space="preserve"> This industry classification includes passenger transport.</w:t>
      </w:r>
    </w:p>
  </w:footnote>
  <w:footnote w:id="18">
    <w:p w14:paraId="71A12D86" w14:textId="34AFADB3" w:rsidR="006D21B8" w:rsidRDefault="006D21B8">
      <w:pPr>
        <w:pStyle w:val="FootnoteText"/>
      </w:pPr>
      <w:r>
        <w:rPr>
          <w:rStyle w:val="FootnoteReference"/>
        </w:rPr>
        <w:footnoteRef/>
      </w:r>
      <w:r>
        <w:t xml:space="preserve"> A serious injury is one that </w:t>
      </w:r>
      <w:r w:rsidRPr="0022179A">
        <w:t>resulted in a week or more off work</w:t>
      </w:r>
      <w:r>
        <w:t>.</w:t>
      </w:r>
    </w:p>
  </w:footnote>
  <w:footnote w:id="19">
    <w:p w14:paraId="07EC936B" w14:textId="2419EF3B" w:rsidR="006274BC" w:rsidRDefault="006274BC" w:rsidP="006274BC">
      <w:pPr>
        <w:pStyle w:val="FootnoteText"/>
      </w:pPr>
      <w:r>
        <w:rPr>
          <w:rStyle w:val="FootnoteReference"/>
        </w:rPr>
        <w:footnoteRef/>
      </w:r>
      <w:r>
        <w:t xml:space="preserve"> The </w:t>
      </w:r>
      <w:r w:rsidR="0037259D">
        <w:t>T</w:t>
      </w:r>
      <w:r>
        <w:t xml:space="preserve">ransport sub-industries, except for Road </w:t>
      </w:r>
      <w:r w:rsidR="0037259D">
        <w:t>T</w:t>
      </w:r>
      <w:r>
        <w:t>ransport, have fewer incidences or employment, and so small changes in the numbers of incidences can result in large changes in the incidence rate. As such, they are not shown here separately.</w:t>
      </w:r>
    </w:p>
  </w:footnote>
  <w:footnote w:id="20">
    <w:p w14:paraId="0658CE16" w14:textId="3DA2C28B" w:rsidR="006D21B8" w:rsidRDefault="006D21B8">
      <w:pPr>
        <w:pStyle w:val="FootnoteText"/>
      </w:pPr>
      <w:r>
        <w:rPr>
          <w:rStyle w:val="FootnoteReference"/>
        </w:rPr>
        <w:footnoteRef/>
      </w:r>
      <w:r>
        <w:t xml:space="preserve"> This includes the </w:t>
      </w:r>
      <w:r w:rsidRPr="001204D5">
        <w:t xml:space="preserve">Air and </w:t>
      </w:r>
      <w:r w:rsidR="001E17F3">
        <w:t>S</w:t>
      </w:r>
      <w:r w:rsidRPr="001204D5">
        <w:t xml:space="preserve">pace </w:t>
      </w:r>
      <w:r w:rsidR="001E17F3">
        <w:t>T</w:t>
      </w:r>
      <w:r w:rsidRPr="001204D5">
        <w:t>ransport</w:t>
      </w:r>
      <w:r>
        <w:t xml:space="preserve">, </w:t>
      </w:r>
      <w:r w:rsidRPr="001204D5">
        <w:t xml:space="preserve">Other </w:t>
      </w:r>
      <w:r w:rsidR="001E17F3">
        <w:t>T</w:t>
      </w:r>
      <w:r w:rsidRPr="001204D5">
        <w:t>ransport</w:t>
      </w:r>
      <w:r>
        <w:t>,</w:t>
      </w:r>
      <w:r w:rsidRPr="001204D5">
        <w:t xml:space="preserve"> Postal and </w:t>
      </w:r>
      <w:r w:rsidR="001E17F3">
        <w:t>C</w:t>
      </w:r>
      <w:r w:rsidRPr="001204D5">
        <w:t xml:space="preserve">ourier </w:t>
      </w:r>
      <w:r w:rsidR="001E17F3">
        <w:t>P</w:t>
      </w:r>
      <w:r w:rsidRPr="001204D5">
        <w:t xml:space="preserve">ick-up and </w:t>
      </w:r>
      <w:r w:rsidR="001E17F3">
        <w:t>D</w:t>
      </w:r>
      <w:r w:rsidRPr="001204D5">
        <w:t xml:space="preserve">elivery </w:t>
      </w:r>
      <w:r w:rsidR="001E17F3">
        <w:t>S</w:t>
      </w:r>
      <w:r w:rsidRPr="001204D5">
        <w:t>ervices</w:t>
      </w:r>
      <w:r>
        <w:t xml:space="preserve">, and </w:t>
      </w:r>
      <w:r w:rsidRPr="001204D5">
        <w:t xml:space="preserve">Warehousing and </w:t>
      </w:r>
      <w:r w:rsidR="001E17F3">
        <w:t>S</w:t>
      </w:r>
      <w:r w:rsidRPr="001204D5">
        <w:t xml:space="preserve">torage </w:t>
      </w:r>
      <w:r w:rsidR="001E17F3">
        <w:t>S</w:t>
      </w:r>
      <w:r w:rsidRPr="001204D5">
        <w:t>ervices</w:t>
      </w:r>
      <w:r>
        <w:t xml:space="preserve"> industries.</w:t>
      </w:r>
    </w:p>
  </w:footnote>
  <w:footnote w:id="21">
    <w:p w14:paraId="7D268EFF" w14:textId="36FB52B4" w:rsidR="005D24B4" w:rsidRDefault="005D24B4">
      <w:pPr>
        <w:pStyle w:val="FootnoteText"/>
      </w:pPr>
      <w:r>
        <w:rPr>
          <w:rStyle w:val="FootnoteReference"/>
        </w:rPr>
        <w:footnoteRef/>
      </w:r>
      <w:r>
        <w:t xml:space="preserve"> </w:t>
      </w:r>
      <w:r w:rsidRPr="00B918E5">
        <w:t xml:space="preserve">Safe Work Australia 2025, </w:t>
      </w:r>
      <w:hyperlink r:id="rId9" w:history="1">
        <w:r w:rsidRPr="00B918E5">
          <w:rPr>
            <w:rStyle w:val="Hyperlink"/>
          </w:rPr>
          <w:t>WHS Profile: Truck drivers</w:t>
        </w:r>
      </w:hyperlink>
      <w:r w:rsidRPr="00B918E5">
        <w:t>, Safe Work website.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3CA7F" w14:textId="6B389B77" w:rsidR="00141647" w:rsidRDefault="00141647">
    <w:pPr>
      <w:pStyle w:val="Header"/>
    </w:pPr>
    <w:r>
      <w:rPr>
        <w:noProof/>
      </w:rPr>
      <mc:AlternateContent>
        <mc:Choice Requires="wps">
          <w:drawing>
            <wp:anchor distT="0" distB="0" distL="0" distR="0" simplePos="0" relativeHeight="251658241" behindDoc="0" locked="0" layoutInCell="1" allowOverlap="1" wp14:anchorId="75B1276D" wp14:editId="2495F5BE">
              <wp:simplePos x="635" y="635"/>
              <wp:positionH relativeFrom="page">
                <wp:align>center</wp:align>
              </wp:positionH>
              <wp:positionV relativeFrom="page">
                <wp:align>top</wp:align>
              </wp:positionV>
              <wp:extent cx="643255" cy="429260"/>
              <wp:effectExtent l="0" t="0" r="4445" b="8890"/>
              <wp:wrapNone/>
              <wp:docPr id="138087149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29260"/>
                      </a:xfrm>
                      <a:prstGeom prst="rect">
                        <a:avLst/>
                      </a:prstGeom>
                      <a:noFill/>
                      <a:ln>
                        <a:noFill/>
                      </a:ln>
                    </wps:spPr>
                    <wps:txbx>
                      <w:txbxContent>
                        <w:p w14:paraId="34CC7BA4" w14:textId="23B0172D" w:rsidR="00141647" w:rsidRPr="00141647" w:rsidRDefault="00141647" w:rsidP="00141647">
                          <w:pPr>
                            <w:spacing w:after="0"/>
                            <w:rPr>
                              <w:rFonts w:ascii="Calibri" w:eastAsia="Calibri" w:hAnsi="Calibri" w:cs="Calibri"/>
                              <w:noProof/>
                              <w:color w:val="FF0000"/>
                              <w:sz w:val="28"/>
                              <w:szCs w:val="28"/>
                            </w:rPr>
                          </w:pPr>
                          <w:r w:rsidRPr="00141647">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B1276D" id="_x0000_t202" coordsize="21600,21600" o:spt="202" path="m,l,21600r21600,l21600,xe">
              <v:stroke joinstyle="miter"/>
              <v:path gradientshapeok="t" o:connecttype="rect"/>
            </v:shapetype>
            <v:shape id="Text Box 2" o:spid="_x0000_s1026" type="#_x0000_t202" alt="OFFICIAL" style="position:absolute;left:0;text-align:left;margin-left:0;margin-top:0;width:50.65pt;height:33.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" filled="f" stroked="f">
              <v:textbox style="mso-fit-shape-to-text:t" inset="0,15pt,0,0">
                <w:txbxContent>
                  <w:p w14:paraId="34CC7BA4" w14:textId="23B0172D" w:rsidR="00141647" w:rsidRPr="00141647" w:rsidRDefault="00141647" w:rsidP="00141647">
                    <w:pPr>
                      <w:spacing w:after="0"/>
                      <w:rPr>
                        <w:rFonts w:ascii="Calibri" w:eastAsia="Calibri" w:hAnsi="Calibri" w:cs="Calibri"/>
                        <w:noProof/>
                        <w:color w:val="FF0000"/>
                        <w:sz w:val="28"/>
                        <w:szCs w:val="28"/>
                      </w:rPr>
                    </w:pPr>
                    <w:r w:rsidRPr="00141647">
                      <w:rPr>
                        <w:rFonts w:ascii="Calibri" w:eastAsia="Calibri" w:hAnsi="Calibri" w:cs="Calibri"/>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E6D75" w14:textId="5E709737" w:rsidR="006D21B8" w:rsidRDefault="00141647" w:rsidP="00546218">
    <w:pPr>
      <w:pStyle w:val="Header"/>
      <w:spacing w:after="1320"/>
    </w:pPr>
    <w:r>
      <w:rPr>
        <w:noProof/>
      </w:rPr>
      <mc:AlternateContent>
        <mc:Choice Requires="wps">
          <w:drawing>
            <wp:anchor distT="0" distB="0" distL="0" distR="0" simplePos="0" relativeHeight="251658240" behindDoc="0" locked="0" layoutInCell="1" allowOverlap="1" wp14:anchorId="2065F72B" wp14:editId="1103C6E9">
              <wp:simplePos x="635" y="635"/>
              <wp:positionH relativeFrom="page">
                <wp:align>center</wp:align>
              </wp:positionH>
              <wp:positionV relativeFrom="page">
                <wp:align>top</wp:align>
              </wp:positionV>
              <wp:extent cx="643255" cy="429260"/>
              <wp:effectExtent l="0" t="0" r="4445" b="8890"/>
              <wp:wrapNone/>
              <wp:docPr id="183944356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29260"/>
                      </a:xfrm>
                      <a:prstGeom prst="rect">
                        <a:avLst/>
                      </a:prstGeom>
                      <a:noFill/>
                      <a:ln>
                        <a:noFill/>
                      </a:ln>
                    </wps:spPr>
                    <wps:txbx>
                      <w:txbxContent>
                        <w:p w14:paraId="583F3577" w14:textId="0BF2EC8D" w:rsidR="00141647" w:rsidRPr="00141647" w:rsidRDefault="00141647" w:rsidP="00141647">
                          <w:pPr>
                            <w:spacing w:after="0"/>
                            <w:rPr>
                              <w:rFonts w:ascii="Calibri" w:eastAsia="Calibri" w:hAnsi="Calibri" w:cs="Calibri"/>
                              <w:noProof/>
                              <w:color w:val="FF0000"/>
                              <w:sz w:val="28"/>
                              <w:szCs w:val="28"/>
                            </w:rPr>
                          </w:pPr>
                          <w:r w:rsidRPr="00141647">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65F72B" id="_x0000_t202" coordsize="21600,21600" o:spt="202" path="m,l,21600r21600,l21600,xe">
              <v:stroke joinstyle="miter"/>
              <v:path gradientshapeok="t" o:connecttype="rect"/>
            </v:shapetype>
            <v:shape id="Text Box 1" o:spid="_x0000_s1028" type="#_x0000_t202" alt="OFFICIAL" style="position:absolute;left:0;text-align:left;margin-left:0;margin-top:0;width:50.65pt;height:33.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" filled="f" stroked="f">
              <v:textbox style="mso-fit-shape-to-text:t" inset="0,15pt,0,0">
                <w:txbxContent>
                  <w:p w14:paraId="583F3577" w14:textId="0BF2EC8D" w:rsidR="00141647" w:rsidRPr="00141647" w:rsidRDefault="00141647" w:rsidP="00141647">
                    <w:pPr>
                      <w:spacing w:after="0"/>
                      <w:rPr>
                        <w:rFonts w:ascii="Calibri" w:eastAsia="Calibri" w:hAnsi="Calibri" w:cs="Calibri"/>
                        <w:noProof/>
                        <w:color w:val="FF0000"/>
                        <w:sz w:val="28"/>
                        <w:szCs w:val="28"/>
                      </w:rPr>
                    </w:pPr>
                    <w:r w:rsidRPr="00141647">
                      <w:rPr>
                        <w:rFonts w:ascii="Calibri" w:eastAsia="Calibri" w:hAnsi="Calibri" w:cs="Calibri"/>
                        <w:noProof/>
                        <w:color w:val="FF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0CB93" w14:textId="77777777" w:rsidR="006D21B8" w:rsidRDefault="006D21B8" w:rsidP="00234602">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D15E6" w14:textId="20639931" w:rsidR="006D21B8" w:rsidRPr="003C67CE" w:rsidRDefault="006D21B8" w:rsidP="0024408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1532F" w14:textId="4BDF09DF" w:rsidR="006D21B8" w:rsidRDefault="00141647" w:rsidP="00827492">
    <w:pPr>
      <w:pStyle w:val="SecurityMarker"/>
    </w:pPr>
    <w:r>
      <w:rPr>
        <w:noProof/>
      </w:rPr>
      <mc:AlternateContent>
        <mc:Choice Requires="wps">
          <w:drawing>
            <wp:anchor distT="0" distB="0" distL="0" distR="0" simplePos="0" relativeHeight="251658242" behindDoc="0" locked="0" layoutInCell="1" allowOverlap="1" wp14:anchorId="468A9B75" wp14:editId="768EB337">
              <wp:simplePos x="635" y="635"/>
              <wp:positionH relativeFrom="page">
                <wp:align>center</wp:align>
              </wp:positionH>
              <wp:positionV relativeFrom="page">
                <wp:align>top</wp:align>
              </wp:positionV>
              <wp:extent cx="643255" cy="429260"/>
              <wp:effectExtent l="0" t="0" r="4445" b="8890"/>
              <wp:wrapNone/>
              <wp:docPr id="48767274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29260"/>
                      </a:xfrm>
                      <a:prstGeom prst="rect">
                        <a:avLst/>
                      </a:prstGeom>
                      <a:noFill/>
                      <a:ln>
                        <a:noFill/>
                      </a:ln>
                    </wps:spPr>
                    <wps:txbx>
                      <w:txbxContent>
                        <w:p w14:paraId="504FDC82" w14:textId="22CB4364" w:rsidR="00141647" w:rsidRPr="00141647" w:rsidRDefault="00141647" w:rsidP="00141647">
                          <w:pPr>
                            <w:spacing w:after="0"/>
                            <w:rPr>
                              <w:rFonts w:ascii="Calibri" w:eastAsia="Calibri" w:hAnsi="Calibri" w:cs="Calibri"/>
                              <w:noProof/>
                              <w:color w:val="FF0000"/>
                              <w:sz w:val="28"/>
                              <w:szCs w:val="28"/>
                            </w:rPr>
                          </w:pPr>
                          <w:r w:rsidRPr="00141647">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8A9B75" id="_x0000_t202" coordsize="21600,21600" o:spt="202" path="m,l,21600r21600,l21600,xe">
              <v:stroke joinstyle="miter"/>
              <v:path gradientshapeok="t" o:connecttype="rect"/>
            </v:shapetype>
            <v:shape id="Text Box 5" o:spid="_x0000_s1031" type="#_x0000_t202" alt="OFFICIAL" style="position:absolute;left:0;text-align:left;margin-left:0;margin-top:0;width:50.65pt;height:33.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" filled="f" stroked="f">
              <v:textbox style="mso-fit-shape-to-text:t" inset="0,15pt,0,0">
                <w:txbxContent>
                  <w:p w14:paraId="504FDC82" w14:textId="22CB4364" w:rsidR="00141647" w:rsidRPr="00141647" w:rsidRDefault="00141647" w:rsidP="00141647">
                    <w:pPr>
                      <w:spacing w:after="0"/>
                      <w:rPr>
                        <w:rFonts w:ascii="Calibri" w:eastAsia="Calibri" w:hAnsi="Calibri" w:cs="Calibri"/>
                        <w:noProof/>
                        <w:color w:val="FF0000"/>
                        <w:sz w:val="28"/>
                        <w:szCs w:val="28"/>
                      </w:rPr>
                    </w:pPr>
                    <w:r w:rsidRPr="00141647">
                      <w:rPr>
                        <w:rFonts w:ascii="Calibri" w:eastAsia="Calibri" w:hAnsi="Calibri" w:cs="Calibri"/>
                        <w:noProof/>
                        <w:color w:val="FF0000"/>
                        <w:sz w:val="28"/>
                        <w:szCs w:val="28"/>
                      </w:rPr>
                      <w:t>OFFICIAL</w:t>
                    </w:r>
                  </w:p>
                </w:txbxContent>
              </v:textbox>
              <w10:wrap anchorx="page" anchory="page"/>
            </v:shape>
          </w:pict>
        </mc:Fallback>
      </mc:AlternateContent>
    </w:r>
  </w:p>
  <w:sdt>
    <w:sdtPr>
      <w:alias w:val="Status"/>
      <w:tag w:val=""/>
      <w:id w:val="-1075507228"/>
      <w:dataBinding w:prefixMappings="xmlns:ns0='http://purl.org/dc/elements/1.1/' xmlns:ns1='http://schemas.openxmlformats.org/package/2006/metadata/core-properties' " w:xpath="/ns1:coreProperties[1]/ns1:contentStatus[1]" w:storeItemID="{6C3C8BC8-F283-45AE-878A-BAB7291924A1}"/>
      <w:text/>
    </w:sdtPr>
    <w:sdtContent>
      <w:p w14:paraId="4FBC0D94" w14:textId="2A181F41" w:rsidR="006D21B8" w:rsidRDefault="00C56D2E" w:rsidP="00827492">
        <w:pPr>
          <w:pStyle w:val="SecurityMarker"/>
        </w:pPr>
        <w:r>
          <w:t>OFFICIAL</w:t>
        </w:r>
      </w:p>
    </w:sdtContent>
  </w:sdt>
  <w:p w14:paraId="1F81137C" w14:textId="17F285EF" w:rsidR="006D21B8" w:rsidRDefault="00E4045C" w:rsidP="00BA24FB">
    <w:pPr>
      <w:pStyle w:val="Header"/>
      <w:spacing w:after="720"/>
    </w:pPr>
    <w:fldSimple w:instr=" STYLEREF  &quot;Heading 1&quot; \l  \* MERGEFORMAT ">
      <w:r>
        <w:rPr>
          <w:noProof/>
        </w:rPr>
        <w:t>Acknowledgment of country</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A5ED6"/>
    <w:multiLevelType w:val="hybridMultilevel"/>
    <w:tmpl w:val="E6F857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A6047D3"/>
    <w:multiLevelType w:val="multilevel"/>
    <w:tmpl w:val="5B2C35CE"/>
    <w:numStyleLink w:val="Bullets"/>
  </w:abstractNum>
  <w:abstractNum w:abstractNumId="13" w15:restartNumberingAfterBreak="0">
    <w:nsid w:val="0C61163F"/>
    <w:multiLevelType w:val="hybridMultilevel"/>
    <w:tmpl w:val="42D43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621AED"/>
    <w:multiLevelType w:val="multilevel"/>
    <w:tmpl w:val="C2EED61A"/>
    <w:numStyleLink w:val="NumberedHeadings"/>
  </w:abstractNum>
  <w:abstractNum w:abstractNumId="15" w15:restartNumberingAfterBreak="0">
    <w:nsid w:val="114D745D"/>
    <w:multiLevelType w:val="hybridMultilevel"/>
    <w:tmpl w:val="B7A00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2D5180"/>
    <w:multiLevelType w:val="hybridMultilevel"/>
    <w:tmpl w:val="DA382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A00C13"/>
    <w:multiLevelType w:val="hybridMultilevel"/>
    <w:tmpl w:val="CDB64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AA51938"/>
    <w:multiLevelType w:val="multilevel"/>
    <w:tmpl w:val="298C34E4"/>
    <w:numStyleLink w:val="AppendixNumbers"/>
  </w:abstractNum>
  <w:abstractNum w:abstractNumId="20"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4A46320D"/>
    <w:multiLevelType w:val="hybridMultilevel"/>
    <w:tmpl w:val="C4EC2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1B7268"/>
    <w:multiLevelType w:val="hybridMultilevel"/>
    <w:tmpl w:val="95EAA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5B01A1"/>
    <w:multiLevelType w:val="hybridMultilevel"/>
    <w:tmpl w:val="4AEE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D9F5738"/>
    <w:multiLevelType w:val="hybridMultilevel"/>
    <w:tmpl w:val="846E14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19978F9"/>
    <w:multiLevelType w:val="hybridMultilevel"/>
    <w:tmpl w:val="5240B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1D574D2"/>
    <w:multiLevelType w:val="hybridMultilevel"/>
    <w:tmpl w:val="E5101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7B7D9F"/>
    <w:multiLevelType w:val="hybridMultilevel"/>
    <w:tmpl w:val="41E8BF74"/>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31" w15:restartNumberingAfterBreak="0">
    <w:nsid w:val="6D3D0E03"/>
    <w:multiLevelType w:val="hybridMultilevel"/>
    <w:tmpl w:val="62326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EE17EA"/>
    <w:multiLevelType w:val="hybridMultilevel"/>
    <w:tmpl w:val="26D2B9A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3" w15:restartNumberingAfterBreak="0">
    <w:nsid w:val="755B07C2"/>
    <w:multiLevelType w:val="hybridMultilevel"/>
    <w:tmpl w:val="BFA22F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4" w15:restartNumberingAfterBreak="0">
    <w:nsid w:val="7AF671A6"/>
    <w:multiLevelType w:val="hybridMultilevel"/>
    <w:tmpl w:val="7F3E0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228879881">
    <w:abstractNumId w:val="9"/>
  </w:num>
  <w:num w:numId="2" w16cid:durableId="608009624">
    <w:abstractNumId w:val="7"/>
  </w:num>
  <w:num w:numId="3" w16cid:durableId="490147828">
    <w:abstractNumId w:val="6"/>
  </w:num>
  <w:num w:numId="4" w16cid:durableId="1246375016">
    <w:abstractNumId w:val="5"/>
  </w:num>
  <w:num w:numId="5" w16cid:durableId="611401456">
    <w:abstractNumId w:val="4"/>
  </w:num>
  <w:num w:numId="6" w16cid:durableId="7951634">
    <w:abstractNumId w:val="8"/>
  </w:num>
  <w:num w:numId="7" w16cid:durableId="2101754709">
    <w:abstractNumId w:val="3"/>
  </w:num>
  <w:num w:numId="8" w16cid:durableId="381514386">
    <w:abstractNumId w:val="2"/>
  </w:num>
  <w:num w:numId="9" w16cid:durableId="1277710575">
    <w:abstractNumId w:val="1"/>
  </w:num>
  <w:num w:numId="10" w16cid:durableId="753674386">
    <w:abstractNumId w:val="0"/>
  </w:num>
  <w:num w:numId="11" w16cid:durableId="221643474">
    <w:abstractNumId w:val="21"/>
  </w:num>
  <w:num w:numId="12" w16cid:durableId="10497628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55829153">
    <w:abstractNumId w:val="35"/>
  </w:num>
  <w:num w:numId="14" w16cid:durableId="6744970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17084150">
    <w:abstractNumId w:val="11"/>
  </w:num>
  <w:num w:numId="16" w16cid:durableId="9021090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9802122">
    <w:abstractNumId w:val="20"/>
  </w:num>
  <w:num w:numId="18" w16cid:durableId="1038626204">
    <w:abstractNumId w:val="14"/>
  </w:num>
  <w:num w:numId="19" w16cid:durableId="198469862">
    <w:abstractNumId w:val="18"/>
  </w:num>
  <w:num w:numId="20" w16cid:durableId="2014601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14476162">
    <w:abstractNumId w:val="19"/>
  </w:num>
  <w:num w:numId="22" w16cid:durableId="1984578679">
    <w:abstractNumId w:val="25"/>
  </w:num>
  <w:num w:numId="23" w16cid:durableId="19567092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02986105">
    <w:abstractNumId w:val="27"/>
  </w:num>
  <w:num w:numId="25" w16cid:durableId="758868391">
    <w:abstractNumId w:val="27"/>
  </w:num>
  <w:num w:numId="26" w16cid:durableId="1434399448">
    <w:abstractNumId w:val="27"/>
  </w:num>
  <w:num w:numId="27" w16cid:durableId="1663583826">
    <w:abstractNumId w:val="27"/>
  </w:num>
  <w:num w:numId="28" w16cid:durableId="1116215318">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09628370">
    <w:abstractNumId w:val="24"/>
  </w:num>
  <w:num w:numId="30" w16cid:durableId="1792242902">
    <w:abstractNumId w:val="23"/>
  </w:num>
  <w:num w:numId="31" w16cid:durableId="957024217">
    <w:abstractNumId w:val="30"/>
  </w:num>
  <w:num w:numId="32" w16cid:durableId="559251446">
    <w:abstractNumId w:val="31"/>
  </w:num>
  <w:num w:numId="33" w16cid:durableId="2112121090">
    <w:abstractNumId w:val="34"/>
  </w:num>
  <w:num w:numId="34" w16cid:durableId="1434787559">
    <w:abstractNumId w:val="22"/>
  </w:num>
  <w:num w:numId="35" w16cid:durableId="1622540893">
    <w:abstractNumId w:val="12"/>
  </w:num>
  <w:num w:numId="36" w16cid:durableId="1852182839">
    <w:abstractNumId w:val="33"/>
  </w:num>
  <w:num w:numId="37" w16cid:durableId="594291329">
    <w:abstractNumId w:val="26"/>
  </w:num>
  <w:num w:numId="38" w16cid:durableId="399638864">
    <w:abstractNumId w:val="10"/>
  </w:num>
  <w:num w:numId="39" w16cid:durableId="1978339426">
    <w:abstractNumId w:val="17"/>
  </w:num>
  <w:num w:numId="40" w16cid:durableId="31344440">
    <w:abstractNumId w:val="28"/>
  </w:num>
  <w:num w:numId="41" w16cid:durableId="1787697126">
    <w:abstractNumId w:val="15"/>
  </w:num>
  <w:num w:numId="42" w16cid:durableId="1104374960">
    <w:abstractNumId w:val="32"/>
  </w:num>
  <w:num w:numId="43" w16cid:durableId="442386749">
    <w:abstractNumId w:val="29"/>
  </w:num>
  <w:num w:numId="44" w16cid:durableId="143931389">
    <w:abstractNumId w:val="16"/>
  </w:num>
  <w:num w:numId="45" w16cid:durableId="17284518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685"/>
    <w:rsid w:val="0000057B"/>
    <w:rsid w:val="000014BE"/>
    <w:rsid w:val="00001DA3"/>
    <w:rsid w:val="000075AC"/>
    <w:rsid w:val="00007823"/>
    <w:rsid w:val="00011D99"/>
    <w:rsid w:val="0001430B"/>
    <w:rsid w:val="00021F30"/>
    <w:rsid w:val="00026657"/>
    <w:rsid w:val="00027686"/>
    <w:rsid w:val="00027BF6"/>
    <w:rsid w:val="000329FF"/>
    <w:rsid w:val="00033ECD"/>
    <w:rsid w:val="000352BB"/>
    <w:rsid w:val="0003675F"/>
    <w:rsid w:val="00041240"/>
    <w:rsid w:val="0004197C"/>
    <w:rsid w:val="00041C7A"/>
    <w:rsid w:val="00047526"/>
    <w:rsid w:val="00047D48"/>
    <w:rsid w:val="0005366A"/>
    <w:rsid w:val="000539F6"/>
    <w:rsid w:val="000567C7"/>
    <w:rsid w:val="00060AA8"/>
    <w:rsid w:val="00062C76"/>
    <w:rsid w:val="00062CFC"/>
    <w:rsid w:val="00063EAF"/>
    <w:rsid w:val="00065398"/>
    <w:rsid w:val="00065D11"/>
    <w:rsid w:val="00065D73"/>
    <w:rsid w:val="000749C1"/>
    <w:rsid w:val="00075AF8"/>
    <w:rsid w:val="000770EC"/>
    <w:rsid w:val="00077A1F"/>
    <w:rsid w:val="0008009A"/>
    <w:rsid w:val="0008101D"/>
    <w:rsid w:val="00081889"/>
    <w:rsid w:val="00081C93"/>
    <w:rsid w:val="000853FA"/>
    <w:rsid w:val="00085622"/>
    <w:rsid w:val="0008616A"/>
    <w:rsid w:val="000864DB"/>
    <w:rsid w:val="00086EBB"/>
    <w:rsid w:val="0008737C"/>
    <w:rsid w:val="00087585"/>
    <w:rsid w:val="000A0462"/>
    <w:rsid w:val="000A1F9D"/>
    <w:rsid w:val="000A2F6D"/>
    <w:rsid w:val="000A5969"/>
    <w:rsid w:val="000A63B4"/>
    <w:rsid w:val="000B39EC"/>
    <w:rsid w:val="000C28CD"/>
    <w:rsid w:val="000C4A99"/>
    <w:rsid w:val="000D06B9"/>
    <w:rsid w:val="000D0A07"/>
    <w:rsid w:val="000D41F1"/>
    <w:rsid w:val="000D591D"/>
    <w:rsid w:val="000E23E5"/>
    <w:rsid w:val="000E24BA"/>
    <w:rsid w:val="000E35CC"/>
    <w:rsid w:val="000E5674"/>
    <w:rsid w:val="000F021F"/>
    <w:rsid w:val="000F127F"/>
    <w:rsid w:val="000F13F6"/>
    <w:rsid w:val="000F21F0"/>
    <w:rsid w:val="000F3CB8"/>
    <w:rsid w:val="000F45D9"/>
    <w:rsid w:val="000F4A6B"/>
    <w:rsid w:val="000F4C4A"/>
    <w:rsid w:val="000F500B"/>
    <w:rsid w:val="000F5687"/>
    <w:rsid w:val="001000E8"/>
    <w:rsid w:val="00100C41"/>
    <w:rsid w:val="001041F2"/>
    <w:rsid w:val="00104EE3"/>
    <w:rsid w:val="001062EE"/>
    <w:rsid w:val="00106582"/>
    <w:rsid w:val="001109C1"/>
    <w:rsid w:val="00110D00"/>
    <w:rsid w:val="0011215B"/>
    <w:rsid w:val="00112FAE"/>
    <w:rsid w:val="001138B3"/>
    <w:rsid w:val="001151DA"/>
    <w:rsid w:val="00116234"/>
    <w:rsid w:val="001173EF"/>
    <w:rsid w:val="001200B7"/>
    <w:rsid w:val="001204D5"/>
    <w:rsid w:val="0012169E"/>
    <w:rsid w:val="00123A01"/>
    <w:rsid w:val="00124C46"/>
    <w:rsid w:val="001250F4"/>
    <w:rsid w:val="001279D5"/>
    <w:rsid w:val="001349C6"/>
    <w:rsid w:val="00135009"/>
    <w:rsid w:val="00141647"/>
    <w:rsid w:val="001418A4"/>
    <w:rsid w:val="001423B8"/>
    <w:rsid w:val="0014263A"/>
    <w:rsid w:val="00143973"/>
    <w:rsid w:val="00144A68"/>
    <w:rsid w:val="001456F6"/>
    <w:rsid w:val="00150EB8"/>
    <w:rsid w:val="001518A1"/>
    <w:rsid w:val="00154103"/>
    <w:rsid w:val="00155F79"/>
    <w:rsid w:val="001639C2"/>
    <w:rsid w:val="00163ED8"/>
    <w:rsid w:val="0016489B"/>
    <w:rsid w:val="001649CA"/>
    <w:rsid w:val="00164E03"/>
    <w:rsid w:val="00167438"/>
    <w:rsid w:val="00174320"/>
    <w:rsid w:val="00175040"/>
    <w:rsid w:val="00175E6B"/>
    <w:rsid w:val="00176512"/>
    <w:rsid w:val="00176A69"/>
    <w:rsid w:val="00176D49"/>
    <w:rsid w:val="001803E3"/>
    <w:rsid w:val="001810FF"/>
    <w:rsid w:val="001832D5"/>
    <w:rsid w:val="001845E8"/>
    <w:rsid w:val="00186DF1"/>
    <w:rsid w:val="00195996"/>
    <w:rsid w:val="00195B4F"/>
    <w:rsid w:val="00197CC9"/>
    <w:rsid w:val="001A005E"/>
    <w:rsid w:val="001A06E4"/>
    <w:rsid w:val="001A2A89"/>
    <w:rsid w:val="001A58DB"/>
    <w:rsid w:val="001A5965"/>
    <w:rsid w:val="001A5C64"/>
    <w:rsid w:val="001B0B3D"/>
    <w:rsid w:val="001B26CE"/>
    <w:rsid w:val="001B3110"/>
    <w:rsid w:val="001B50CD"/>
    <w:rsid w:val="001B6533"/>
    <w:rsid w:val="001B71E0"/>
    <w:rsid w:val="001C00A9"/>
    <w:rsid w:val="001C1398"/>
    <w:rsid w:val="001C2C55"/>
    <w:rsid w:val="001C3B25"/>
    <w:rsid w:val="001C4EAF"/>
    <w:rsid w:val="001C61FA"/>
    <w:rsid w:val="001C6F0D"/>
    <w:rsid w:val="001C7963"/>
    <w:rsid w:val="001D1070"/>
    <w:rsid w:val="001D1C30"/>
    <w:rsid w:val="001D6FEA"/>
    <w:rsid w:val="001E17F3"/>
    <w:rsid w:val="001E1D5C"/>
    <w:rsid w:val="001F1E2B"/>
    <w:rsid w:val="001F3DEA"/>
    <w:rsid w:val="00200B63"/>
    <w:rsid w:val="00200CCD"/>
    <w:rsid w:val="00205F7A"/>
    <w:rsid w:val="00206DF0"/>
    <w:rsid w:val="0021019B"/>
    <w:rsid w:val="0021597B"/>
    <w:rsid w:val="00216AED"/>
    <w:rsid w:val="0022179A"/>
    <w:rsid w:val="002222B8"/>
    <w:rsid w:val="002222E7"/>
    <w:rsid w:val="0022494C"/>
    <w:rsid w:val="00224B5F"/>
    <w:rsid w:val="002254D5"/>
    <w:rsid w:val="00225565"/>
    <w:rsid w:val="0022611D"/>
    <w:rsid w:val="00226499"/>
    <w:rsid w:val="00226E8D"/>
    <w:rsid w:val="002317A0"/>
    <w:rsid w:val="00231B8D"/>
    <w:rsid w:val="00231ED8"/>
    <w:rsid w:val="00232765"/>
    <w:rsid w:val="00233124"/>
    <w:rsid w:val="00234602"/>
    <w:rsid w:val="0023479B"/>
    <w:rsid w:val="002400A0"/>
    <w:rsid w:val="002419F5"/>
    <w:rsid w:val="00241AA9"/>
    <w:rsid w:val="00243E92"/>
    <w:rsid w:val="0024408C"/>
    <w:rsid w:val="00250FE2"/>
    <w:rsid w:val="0027246F"/>
    <w:rsid w:val="002725E7"/>
    <w:rsid w:val="00272C24"/>
    <w:rsid w:val="00273F5A"/>
    <w:rsid w:val="0027718F"/>
    <w:rsid w:val="00281867"/>
    <w:rsid w:val="0028346E"/>
    <w:rsid w:val="00284164"/>
    <w:rsid w:val="002844BA"/>
    <w:rsid w:val="00287F0D"/>
    <w:rsid w:val="00291050"/>
    <w:rsid w:val="00296DBD"/>
    <w:rsid w:val="002A5D80"/>
    <w:rsid w:val="002B04FC"/>
    <w:rsid w:val="002B1CA2"/>
    <w:rsid w:val="002B1EBF"/>
    <w:rsid w:val="002B1EEA"/>
    <w:rsid w:val="002B228E"/>
    <w:rsid w:val="002B3569"/>
    <w:rsid w:val="002B5A9C"/>
    <w:rsid w:val="002B5AF3"/>
    <w:rsid w:val="002B65C9"/>
    <w:rsid w:val="002B718B"/>
    <w:rsid w:val="002B7197"/>
    <w:rsid w:val="002C28AB"/>
    <w:rsid w:val="002C2FFA"/>
    <w:rsid w:val="002C7BAA"/>
    <w:rsid w:val="002D01AA"/>
    <w:rsid w:val="002D21B1"/>
    <w:rsid w:val="002D3C7A"/>
    <w:rsid w:val="002D550C"/>
    <w:rsid w:val="002E1ADA"/>
    <w:rsid w:val="002E4FC0"/>
    <w:rsid w:val="002E6DD0"/>
    <w:rsid w:val="002E7693"/>
    <w:rsid w:val="002F03C2"/>
    <w:rsid w:val="002F6994"/>
    <w:rsid w:val="002F7CC6"/>
    <w:rsid w:val="002F7D36"/>
    <w:rsid w:val="00302183"/>
    <w:rsid w:val="003039D9"/>
    <w:rsid w:val="003048AE"/>
    <w:rsid w:val="003130D2"/>
    <w:rsid w:val="0032374B"/>
    <w:rsid w:val="0032414C"/>
    <w:rsid w:val="003261CF"/>
    <w:rsid w:val="003319ED"/>
    <w:rsid w:val="00331ECB"/>
    <w:rsid w:val="00336AC4"/>
    <w:rsid w:val="003416B6"/>
    <w:rsid w:val="00350308"/>
    <w:rsid w:val="003503D5"/>
    <w:rsid w:val="00350998"/>
    <w:rsid w:val="003509E3"/>
    <w:rsid w:val="00351B3E"/>
    <w:rsid w:val="0036107B"/>
    <w:rsid w:val="00361655"/>
    <w:rsid w:val="003648B2"/>
    <w:rsid w:val="00364EEB"/>
    <w:rsid w:val="003720E9"/>
    <w:rsid w:val="0037259D"/>
    <w:rsid w:val="00372AAC"/>
    <w:rsid w:val="00375E5C"/>
    <w:rsid w:val="003774AD"/>
    <w:rsid w:val="00377B4C"/>
    <w:rsid w:val="00381C17"/>
    <w:rsid w:val="00383AD6"/>
    <w:rsid w:val="003852D8"/>
    <w:rsid w:val="0039468C"/>
    <w:rsid w:val="003A0C05"/>
    <w:rsid w:val="003B3071"/>
    <w:rsid w:val="003B5955"/>
    <w:rsid w:val="003B65A9"/>
    <w:rsid w:val="003B7E48"/>
    <w:rsid w:val="003C09F8"/>
    <w:rsid w:val="003C1787"/>
    <w:rsid w:val="003C3575"/>
    <w:rsid w:val="003C625A"/>
    <w:rsid w:val="003D100B"/>
    <w:rsid w:val="003D1380"/>
    <w:rsid w:val="003D4C9D"/>
    <w:rsid w:val="003E00F4"/>
    <w:rsid w:val="003E16CE"/>
    <w:rsid w:val="003E177A"/>
    <w:rsid w:val="003E4A5A"/>
    <w:rsid w:val="003E5D70"/>
    <w:rsid w:val="003F2E39"/>
    <w:rsid w:val="003F6B88"/>
    <w:rsid w:val="003F775D"/>
    <w:rsid w:val="004010F8"/>
    <w:rsid w:val="004040A1"/>
    <w:rsid w:val="00405285"/>
    <w:rsid w:val="004063DE"/>
    <w:rsid w:val="00406DBA"/>
    <w:rsid w:val="00412F2B"/>
    <w:rsid w:val="004130C6"/>
    <w:rsid w:val="00414969"/>
    <w:rsid w:val="004205E2"/>
    <w:rsid w:val="00420F04"/>
    <w:rsid w:val="0042391F"/>
    <w:rsid w:val="00425A7E"/>
    <w:rsid w:val="0043572B"/>
    <w:rsid w:val="00440749"/>
    <w:rsid w:val="004412ED"/>
    <w:rsid w:val="004414E6"/>
    <w:rsid w:val="00444A98"/>
    <w:rsid w:val="0045116C"/>
    <w:rsid w:val="00452047"/>
    <w:rsid w:val="00452585"/>
    <w:rsid w:val="00452BC5"/>
    <w:rsid w:val="00457A1C"/>
    <w:rsid w:val="0046136A"/>
    <w:rsid w:val="00461CA9"/>
    <w:rsid w:val="00461D1F"/>
    <w:rsid w:val="00463D12"/>
    <w:rsid w:val="00463FEF"/>
    <w:rsid w:val="004649AF"/>
    <w:rsid w:val="00467693"/>
    <w:rsid w:val="00470955"/>
    <w:rsid w:val="004734BD"/>
    <w:rsid w:val="00474B86"/>
    <w:rsid w:val="00477E77"/>
    <w:rsid w:val="0048022E"/>
    <w:rsid w:val="004816CC"/>
    <w:rsid w:val="0048455F"/>
    <w:rsid w:val="004868F7"/>
    <w:rsid w:val="00487C38"/>
    <w:rsid w:val="00491941"/>
    <w:rsid w:val="00491AC7"/>
    <w:rsid w:val="00495C32"/>
    <w:rsid w:val="004971A4"/>
    <w:rsid w:val="00497577"/>
    <w:rsid w:val="004A3726"/>
    <w:rsid w:val="004A4274"/>
    <w:rsid w:val="004A4CDF"/>
    <w:rsid w:val="004B0727"/>
    <w:rsid w:val="004B36AD"/>
    <w:rsid w:val="004B5439"/>
    <w:rsid w:val="004B6349"/>
    <w:rsid w:val="004B64C5"/>
    <w:rsid w:val="004C3434"/>
    <w:rsid w:val="004C3F54"/>
    <w:rsid w:val="004C57FA"/>
    <w:rsid w:val="004C6F09"/>
    <w:rsid w:val="004D23B3"/>
    <w:rsid w:val="004D3477"/>
    <w:rsid w:val="004D49E0"/>
    <w:rsid w:val="004D4D67"/>
    <w:rsid w:val="004E71D1"/>
    <w:rsid w:val="004E7A32"/>
    <w:rsid w:val="004F1807"/>
    <w:rsid w:val="004F1CE5"/>
    <w:rsid w:val="005008F5"/>
    <w:rsid w:val="005013F5"/>
    <w:rsid w:val="005014AB"/>
    <w:rsid w:val="00501734"/>
    <w:rsid w:val="00502F17"/>
    <w:rsid w:val="005037C9"/>
    <w:rsid w:val="005155D3"/>
    <w:rsid w:val="00517907"/>
    <w:rsid w:val="00523BE6"/>
    <w:rsid w:val="00524AA4"/>
    <w:rsid w:val="0052573F"/>
    <w:rsid w:val="00525D54"/>
    <w:rsid w:val="00526EFB"/>
    <w:rsid w:val="00527007"/>
    <w:rsid w:val="00530E92"/>
    <w:rsid w:val="005327F2"/>
    <w:rsid w:val="005331D6"/>
    <w:rsid w:val="00535938"/>
    <w:rsid w:val="0053721E"/>
    <w:rsid w:val="00537E60"/>
    <w:rsid w:val="0054065A"/>
    <w:rsid w:val="00540B3B"/>
    <w:rsid w:val="00541213"/>
    <w:rsid w:val="005443DA"/>
    <w:rsid w:val="005455F3"/>
    <w:rsid w:val="00546218"/>
    <w:rsid w:val="005479B0"/>
    <w:rsid w:val="00551303"/>
    <w:rsid w:val="00551350"/>
    <w:rsid w:val="00557DA0"/>
    <w:rsid w:val="00564A26"/>
    <w:rsid w:val="005662E9"/>
    <w:rsid w:val="005673BD"/>
    <w:rsid w:val="0057063F"/>
    <w:rsid w:val="00572EFA"/>
    <w:rsid w:val="00574AFB"/>
    <w:rsid w:val="0057502D"/>
    <w:rsid w:val="00576DFE"/>
    <w:rsid w:val="005779A7"/>
    <w:rsid w:val="00577BE1"/>
    <w:rsid w:val="005816AD"/>
    <w:rsid w:val="00582779"/>
    <w:rsid w:val="00583EE1"/>
    <w:rsid w:val="00587B76"/>
    <w:rsid w:val="005912BE"/>
    <w:rsid w:val="005A1A64"/>
    <w:rsid w:val="005A2496"/>
    <w:rsid w:val="005A5A2D"/>
    <w:rsid w:val="005A6352"/>
    <w:rsid w:val="005A6DAA"/>
    <w:rsid w:val="005B0612"/>
    <w:rsid w:val="005B26A0"/>
    <w:rsid w:val="005B5266"/>
    <w:rsid w:val="005B6E2A"/>
    <w:rsid w:val="005B7D97"/>
    <w:rsid w:val="005C2B95"/>
    <w:rsid w:val="005C3AFB"/>
    <w:rsid w:val="005C6303"/>
    <w:rsid w:val="005C6733"/>
    <w:rsid w:val="005D0D5F"/>
    <w:rsid w:val="005D1493"/>
    <w:rsid w:val="005D24B4"/>
    <w:rsid w:val="005D3A3A"/>
    <w:rsid w:val="005D49E8"/>
    <w:rsid w:val="005D6B8F"/>
    <w:rsid w:val="005D7BA9"/>
    <w:rsid w:val="005E3014"/>
    <w:rsid w:val="005E4017"/>
    <w:rsid w:val="005E40F0"/>
    <w:rsid w:val="005F0555"/>
    <w:rsid w:val="005F794B"/>
    <w:rsid w:val="00604213"/>
    <w:rsid w:val="006048B7"/>
    <w:rsid w:val="006054FD"/>
    <w:rsid w:val="00610B5B"/>
    <w:rsid w:val="00613085"/>
    <w:rsid w:val="00614A9E"/>
    <w:rsid w:val="00615B9C"/>
    <w:rsid w:val="00616886"/>
    <w:rsid w:val="00624DC4"/>
    <w:rsid w:val="00625BA5"/>
    <w:rsid w:val="006274BC"/>
    <w:rsid w:val="00627EE5"/>
    <w:rsid w:val="006300B5"/>
    <w:rsid w:val="00632CFB"/>
    <w:rsid w:val="006337E0"/>
    <w:rsid w:val="00633949"/>
    <w:rsid w:val="006362A8"/>
    <w:rsid w:val="00641639"/>
    <w:rsid w:val="006444EA"/>
    <w:rsid w:val="00646420"/>
    <w:rsid w:val="00646737"/>
    <w:rsid w:val="00647F8E"/>
    <w:rsid w:val="00651FF1"/>
    <w:rsid w:val="00652F1D"/>
    <w:rsid w:val="00653E07"/>
    <w:rsid w:val="006565B2"/>
    <w:rsid w:val="00656FE7"/>
    <w:rsid w:val="00657CF8"/>
    <w:rsid w:val="00662DF6"/>
    <w:rsid w:val="00664526"/>
    <w:rsid w:val="006668F3"/>
    <w:rsid w:val="00666D51"/>
    <w:rsid w:val="00671E0E"/>
    <w:rsid w:val="006726B6"/>
    <w:rsid w:val="006772F0"/>
    <w:rsid w:val="00681A1A"/>
    <w:rsid w:val="00686A8E"/>
    <w:rsid w:val="006926E9"/>
    <w:rsid w:val="006A652F"/>
    <w:rsid w:val="006C4156"/>
    <w:rsid w:val="006C4B6D"/>
    <w:rsid w:val="006C62E9"/>
    <w:rsid w:val="006C645E"/>
    <w:rsid w:val="006C6B2D"/>
    <w:rsid w:val="006D025D"/>
    <w:rsid w:val="006D21B8"/>
    <w:rsid w:val="006D304E"/>
    <w:rsid w:val="006D7C59"/>
    <w:rsid w:val="006E08C7"/>
    <w:rsid w:val="006E1369"/>
    <w:rsid w:val="006E1ECA"/>
    <w:rsid w:val="006E3541"/>
    <w:rsid w:val="006E6060"/>
    <w:rsid w:val="006F572F"/>
    <w:rsid w:val="006F60AF"/>
    <w:rsid w:val="007005CA"/>
    <w:rsid w:val="00701000"/>
    <w:rsid w:val="00701523"/>
    <w:rsid w:val="00701B80"/>
    <w:rsid w:val="00704E9B"/>
    <w:rsid w:val="007161CC"/>
    <w:rsid w:val="007173F8"/>
    <w:rsid w:val="007177E4"/>
    <w:rsid w:val="00717849"/>
    <w:rsid w:val="00720EBE"/>
    <w:rsid w:val="00722C72"/>
    <w:rsid w:val="007247E0"/>
    <w:rsid w:val="007271A1"/>
    <w:rsid w:val="0073372A"/>
    <w:rsid w:val="00735960"/>
    <w:rsid w:val="00737D1F"/>
    <w:rsid w:val="00737D53"/>
    <w:rsid w:val="007401B7"/>
    <w:rsid w:val="00740289"/>
    <w:rsid w:val="007405F9"/>
    <w:rsid w:val="00742EA3"/>
    <w:rsid w:val="007432BD"/>
    <w:rsid w:val="00743E95"/>
    <w:rsid w:val="00745A1E"/>
    <w:rsid w:val="007461CF"/>
    <w:rsid w:val="007466F3"/>
    <w:rsid w:val="00751A22"/>
    <w:rsid w:val="00751C07"/>
    <w:rsid w:val="00751C8A"/>
    <w:rsid w:val="00755269"/>
    <w:rsid w:val="007609E4"/>
    <w:rsid w:val="00762C8B"/>
    <w:rsid w:val="0076703B"/>
    <w:rsid w:val="007707A6"/>
    <w:rsid w:val="0077481C"/>
    <w:rsid w:val="007775BB"/>
    <w:rsid w:val="00780541"/>
    <w:rsid w:val="0078086C"/>
    <w:rsid w:val="00780E1F"/>
    <w:rsid w:val="00780F4D"/>
    <w:rsid w:val="007913D8"/>
    <w:rsid w:val="007A05BE"/>
    <w:rsid w:val="007A3EE2"/>
    <w:rsid w:val="007A78A1"/>
    <w:rsid w:val="007B1790"/>
    <w:rsid w:val="007B325B"/>
    <w:rsid w:val="007B43F3"/>
    <w:rsid w:val="007B6A42"/>
    <w:rsid w:val="007C3B28"/>
    <w:rsid w:val="007C511A"/>
    <w:rsid w:val="007E07A7"/>
    <w:rsid w:val="007E23B5"/>
    <w:rsid w:val="007E4133"/>
    <w:rsid w:val="007E62F2"/>
    <w:rsid w:val="007F7497"/>
    <w:rsid w:val="00801AE5"/>
    <w:rsid w:val="00803B9A"/>
    <w:rsid w:val="008043C5"/>
    <w:rsid w:val="008045C6"/>
    <w:rsid w:val="008067A1"/>
    <w:rsid w:val="00806F1D"/>
    <w:rsid w:val="0081342E"/>
    <w:rsid w:val="008147B8"/>
    <w:rsid w:val="008209E3"/>
    <w:rsid w:val="00827492"/>
    <w:rsid w:val="0084160B"/>
    <w:rsid w:val="00843C8C"/>
    <w:rsid w:val="008456D5"/>
    <w:rsid w:val="008458EE"/>
    <w:rsid w:val="00845C59"/>
    <w:rsid w:val="0084634B"/>
    <w:rsid w:val="00847D6A"/>
    <w:rsid w:val="0085694E"/>
    <w:rsid w:val="008667B2"/>
    <w:rsid w:val="00872D48"/>
    <w:rsid w:val="00887C12"/>
    <w:rsid w:val="00890525"/>
    <w:rsid w:val="00891BF1"/>
    <w:rsid w:val="00891DBE"/>
    <w:rsid w:val="008A085D"/>
    <w:rsid w:val="008A0AF3"/>
    <w:rsid w:val="008A1887"/>
    <w:rsid w:val="008A19B4"/>
    <w:rsid w:val="008A3879"/>
    <w:rsid w:val="008A39D7"/>
    <w:rsid w:val="008A3F0C"/>
    <w:rsid w:val="008A3F73"/>
    <w:rsid w:val="008B6A81"/>
    <w:rsid w:val="008C6819"/>
    <w:rsid w:val="008D30CC"/>
    <w:rsid w:val="008D5FAF"/>
    <w:rsid w:val="008E23AC"/>
    <w:rsid w:val="008E2A0D"/>
    <w:rsid w:val="008E3024"/>
    <w:rsid w:val="008E3722"/>
    <w:rsid w:val="008E3920"/>
    <w:rsid w:val="008E615F"/>
    <w:rsid w:val="008F057E"/>
    <w:rsid w:val="008F3BDB"/>
    <w:rsid w:val="008F3FDC"/>
    <w:rsid w:val="008F442F"/>
    <w:rsid w:val="008F4C0F"/>
    <w:rsid w:val="008F5E41"/>
    <w:rsid w:val="008F6033"/>
    <w:rsid w:val="008F6D54"/>
    <w:rsid w:val="00900FB0"/>
    <w:rsid w:val="0090302C"/>
    <w:rsid w:val="00907671"/>
    <w:rsid w:val="00907882"/>
    <w:rsid w:val="00912602"/>
    <w:rsid w:val="00914FC3"/>
    <w:rsid w:val="00916BF4"/>
    <w:rsid w:val="009175EE"/>
    <w:rsid w:val="009230CD"/>
    <w:rsid w:val="00923EE3"/>
    <w:rsid w:val="009249B2"/>
    <w:rsid w:val="00925198"/>
    <w:rsid w:val="00930432"/>
    <w:rsid w:val="00930803"/>
    <w:rsid w:val="00930BCF"/>
    <w:rsid w:val="00930FDC"/>
    <w:rsid w:val="00932082"/>
    <w:rsid w:val="00940AF5"/>
    <w:rsid w:val="009420A4"/>
    <w:rsid w:val="009425E4"/>
    <w:rsid w:val="00942E02"/>
    <w:rsid w:val="00943235"/>
    <w:rsid w:val="00945FB2"/>
    <w:rsid w:val="00945FBB"/>
    <w:rsid w:val="0095247F"/>
    <w:rsid w:val="00952829"/>
    <w:rsid w:val="00953FBA"/>
    <w:rsid w:val="009602E7"/>
    <w:rsid w:val="0096208A"/>
    <w:rsid w:val="00964CC4"/>
    <w:rsid w:val="009677D1"/>
    <w:rsid w:val="0097083C"/>
    <w:rsid w:val="00970858"/>
    <w:rsid w:val="00974ABE"/>
    <w:rsid w:val="009751B4"/>
    <w:rsid w:val="00977F69"/>
    <w:rsid w:val="00982AFC"/>
    <w:rsid w:val="009859B8"/>
    <w:rsid w:val="00990F6F"/>
    <w:rsid w:val="009921C2"/>
    <w:rsid w:val="00992711"/>
    <w:rsid w:val="00996A8E"/>
    <w:rsid w:val="009A0A4B"/>
    <w:rsid w:val="009A17F1"/>
    <w:rsid w:val="009A2037"/>
    <w:rsid w:val="009A2250"/>
    <w:rsid w:val="009A5251"/>
    <w:rsid w:val="009A5B69"/>
    <w:rsid w:val="009A758E"/>
    <w:rsid w:val="009B00F2"/>
    <w:rsid w:val="009B2394"/>
    <w:rsid w:val="009B2FFB"/>
    <w:rsid w:val="009B4485"/>
    <w:rsid w:val="009B4CED"/>
    <w:rsid w:val="009B50AF"/>
    <w:rsid w:val="009C4510"/>
    <w:rsid w:val="009C45CA"/>
    <w:rsid w:val="009C5CCE"/>
    <w:rsid w:val="009C6531"/>
    <w:rsid w:val="009C65DF"/>
    <w:rsid w:val="009C69BD"/>
    <w:rsid w:val="009D3835"/>
    <w:rsid w:val="009D3D2B"/>
    <w:rsid w:val="009D54BA"/>
    <w:rsid w:val="009D7CCE"/>
    <w:rsid w:val="009E066F"/>
    <w:rsid w:val="009E1BC7"/>
    <w:rsid w:val="009E2A19"/>
    <w:rsid w:val="009F1AAF"/>
    <w:rsid w:val="00A012D5"/>
    <w:rsid w:val="00A020D9"/>
    <w:rsid w:val="00A070A2"/>
    <w:rsid w:val="00A13EC2"/>
    <w:rsid w:val="00A1693E"/>
    <w:rsid w:val="00A2257F"/>
    <w:rsid w:val="00A33BCA"/>
    <w:rsid w:val="00A37BE6"/>
    <w:rsid w:val="00A4193B"/>
    <w:rsid w:val="00A4704A"/>
    <w:rsid w:val="00A50B7B"/>
    <w:rsid w:val="00A61B75"/>
    <w:rsid w:val="00A63331"/>
    <w:rsid w:val="00A63E0F"/>
    <w:rsid w:val="00A66147"/>
    <w:rsid w:val="00A66355"/>
    <w:rsid w:val="00A70284"/>
    <w:rsid w:val="00A70D87"/>
    <w:rsid w:val="00A746A8"/>
    <w:rsid w:val="00A83D7D"/>
    <w:rsid w:val="00A873FD"/>
    <w:rsid w:val="00A91771"/>
    <w:rsid w:val="00A9196B"/>
    <w:rsid w:val="00A93C66"/>
    <w:rsid w:val="00A946CA"/>
    <w:rsid w:val="00A948A3"/>
    <w:rsid w:val="00A94B92"/>
    <w:rsid w:val="00A95970"/>
    <w:rsid w:val="00A96930"/>
    <w:rsid w:val="00A96B2A"/>
    <w:rsid w:val="00AA04E4"/>
    <w:rsid w:val="00AA717A"/>
    <w:rsid w:val="00AB1889"/>
    <w:rsid w:val="00AB5A8D"/>
    <w:rsid w:val="00AC1302"/>
    <w:rsid w:val="00AC2101"/>
    <w:rsid w:val="00AC732A"/>
    <w:rsid w:val="00AD0CA0"/>
    <w:rsid w:val="00AD5A59"/>
    <w:rsid w:val="00AD5E1F"/>
    <w:rsid w:val="00AD62AC"/>
    <w:rsid w:val="00AD76F1"/>
    <w:rsid w:val="00AD7703"/>
    <w:rsid w:val="00AE6FA1"/>
    <w:rsid w:val="00AE74FD"/>
    <w:rsid w:val="00AF1EBE"/>
    <w:rsid w:val="00AF5526"/>
    <w:rsid w:val="00AF5AA3"/>
    <w:rsid w:val="00AF6C4B"/>
    <w:rsid w:val="00B0341B"/>
    <w:rsid w:val="00B06D96"/>
    <w:rsid w:val="00B12496"/>
    <w:rsid w:val="00B15970"/>
    <w:rsid w:val="00B17D87"/>
    <w:rsid w:val="00B17FF6"/>
    <w:rsid w:val="00B20DCB"/>
    <w:rsid w:val="00B25F2C"/>
    <w:rsid w:val="00B2681A"/>
    <w:rsid w:val="00B30689"/>
    <w:rsid w:val="00B33DE5"/>
    <w:rsid w:val="00B35E93"/>
    <w:rsid w:val="00B36439"/>
    <w:rsid w:val="00B3658B"/>
    <w:rsid w:val="00B379D9"/>
    <w:rsid w:val="00B42AC2"/>
    <w:rsid w:val="00B42DC1"/>
    <w:rsid w:val="00B43F40"/>
    <w:rsid w:val="00B45519"/>
    <w:rsid w:val="00B4580E"/>
    <w:rsid w:val="00B46AB9"/>
    <w:rsid w:val="00B509C8"/>
    <w:rsid w:val="00B5443B"/>
    <w:rsid w:val="00B54E13"/>
    <w:rsid w:val="00B606EB"/>
    <w:rsid w:val="00B636C2"/>
    <w:rsid w:val="00B63F70"/>
    <w:rsid w:val="00B663EF"/>
    <w:rsid w:val="00B73A45"/>
    <w:rsid w:val="00B73BE1"/>
    <w:rsid w:val="00B747B1"/>
    <w:rsid w:val="00B74859"/>
    <w:rsid w:val="00B7746A"/>
    <w:rsid w:val="00B77D64"/>
    <w:rsid w:val="00B811BD"/>
    <w:rsid w:val="00B84685"/>
    <w:rsid w:val="00B8495C"/>
    <w:rsid w:val="00B90CB6"/>
    <w:rsid w:val="00B918E5"/>
    <w:rsid w:val="00B923FD"/>
    <w:rsid w:val="00B92C0C"/>
    <w:rsid w:val="00B94355"/>
    <w:rsid w:val="00B96352"/>
    <w:rsid w:val="00B9664D"/>
    <w:rsid w:val="00B96CAC"/>
    <w:rsid w:val="00BA1488"/>
    <w:rsid w:val="00BA1EBB"/>
    <w:rsid w:val="00BA24FB"/>
    <w:rsid w:val="00BA37A9"/>
    <w:rsid w:val="00BA4A53"/>
    <w:rsid w:val="00BA4D08"/>
    <w:rsid w:val="00BA4FA6"/>
    <w:rsid w:val="00BA5454"/>
    <w:rsid w:val="00BB0C86"/>
    <w:rsid w:val="00BB199F"/>
    <w:rsid w:val="00BB2261"/>
    <w:rsid w:val="00BB3AAC"/>
    <w:rsid w:val="00BC355C"/>
    <w:rsid w:val="00BC6469"/>
    <w:rsid w:val="00BD19AF"/>
    <w:rsid w:val="00BD277C"/>
    <w:rsid w:val="00BD5143"/>
    <w:rsid w:val="00BD6515"/>
    <w:rsid w:val="00BD6932"/>
    <w:rsid w:val="00BE1AB9"/>
    <w:rsid w:val="00BF4796"/>
    <w:rsid w:val="00BF5170"/>
    <w:rsid w:val="00C05C0B"/>
    <w:rsid w:val="00C07E98"/>
    <w:rsid w:val="00C151F5"/>
    <w:rsid w:val="00C17639"/>
    <w:rsid w:val="00C20E88"/>
    <w:rsid w:val="00C23F1B"/>
    <w:rsid w:val="00C25AE7"/>
    <w:rsid w:val="00C2710D"/>
    <w:rsid w:val="00C3007A"/>
    <w:rsid w:val="00C30199"/>
    <w:rsid w:val="00C36ADE"/>
    <w:rsid w:val="00C37120"/>
    <w:rsid w:val="00C3799E"/>
    <w:rsid w:val="00C37A30"/>
    <w:rsid w:val="00C40AD6"/>
    <w:rsid w:val="00C41853"/>
    <w:rsid w:val="00C42C94"/>
    <w:rsid w:val="00C45BC2"/>
    <w:rsid w:val="00C46453"/>
    <w:rsid w:val="00C46AA3"/>
    <w:rsid w:val="00C47118"/>
    <w:rsid w:val="00C47BC2"/>
    <w:rsid w:val="00C5048D"/>
    <w:rsid w:val="00C5112D"/>
    <w:rsid w:val="00C51FC0"/>
    <w:rsid w:val="00C56D2E"/>
    <w:rsid w:val="00C6432A"/>
    <w:rsid w:val="00C64F1E"/>
    <w:rsid w:val="00C65B2C"/>
    <w:rsid w:val="00C6692D"/>
    <w:rsid w:val="00C66A69"/>
    <w:rsid w:val="00C66C57"/>
    <w:rsid w:val="00C7017C"/>
    <w:rsid w:val="00C765ED"/>
    <w:rsid w:val="00C7711A"/>
    <w:rsid w:val="00C81643"/>
    <w:rsid w:val="00C81BB0"/>
    <w:rsid w:val="00C83AC0"/>
    <w:rsid w:val="00C83B88"/>
    <w:rsid w:val="00C85BB3"/>
    <w:rsid w:val="00C905EA"/>
    <w:rsid w:val="00C92D69"/>
    <w:rsid w:val="00C9325F"/>
    <w:rsid w:val="00C9353B"/>
    <w:rsid w:val="00C95B90"/>
    <w:rsid w:val="00C978C6"/>
    <w:rsid w:val="00CA2D44"/>
    <w:rsid w:val="00CB0928"/>
    <w:rsid w:val="00CB0D5F"/>
    <w:rsid w:val="00CB17DF"/>
    <w:rsid w:val="00CB2D64"/>
    <w:rsid w:val="00CB4D8A"/>
    <w:rsid w:val="00CB543D"/>
    <w:rsid w:val="00CB67E7"/>
    <w:rsid w:val="00CB74F0"/>
    <w:rsid w:val="00CC0A18"/>
    <w:rsid w:val="00CC0DB6"/>
    <w:rsid w:val="00CC2200"/>
    <w:rsid w:val="00CC6C6E"/>
    <w:rsid w:val="00CC7E2D"/>
    <w:rsid w:val="00CD233E"/>
    <w:rsid w:val="00CE2540"/>
    <w:rsid w:val="00CE3064"/>
    <w:rsid w:val="00CE563A"/>
    <w:rsid w:val="00CF0058"/>
    <w:rsid w:val="00CF0490"/>
    <w:rsid w:val="00CF0AF2"/>
    <w:rsid w:val="00CF496E"/>
    <w:rsid w:val="00CF69B0"/>
    <w:rsid w:val="00CF6CFD"/>
    <w:rsid w:val="00D001CC"/>
    <w:rsid w:val="00D015D1"/>
    <w:rsid w:val="00D02DD9"/>
    <w:rsid w:val="00D06550"/>
    <w:rsid w:val="00D10C81"/>
    <w:rsid w:val="00D112AA"/>
    <w:rsid w:val="00D11838"/>
    <w:rsid w:val="00D12459"/>
    <w:rsid w:val="00D13DFF"/>
    <w:rsid w:val="00D17AFE"/>
    <w:rsid w:val="00D20A90"/>
    <w:rsid w:val="00D2792F"/>
    <w:rsid w:val="00D30F57"/>
    <w:rsid w:val="00D34D76"/>
    <w:rsid w:val="00D35A98"/>
    <w:rsid w:val="00D36266"/>
    <w:rsid w:val="00D36486"/>
    <w:rsid w:val="00D367B8"/>
    <w:rsid w:val="00D4003C"/>
    <w:rsid w:val="00D41AAB"/>
    <w:rsid w:val="00D44037"/>
    <w:rsid w:val="00D459E0"/>
    <w:rsid w:val="00D46F96"/>
    <w:rsid w:val="00D47A02"/>
    <w:rsid w:val="00D518FC"/>
    <w:rsid w:val="00D51B65"/>
    <w:rsid w:val="00D55993"/>
    <w:rsid w:val="00D5655E"/>
    <w:rsid w:val="00D60626"/>
    <w:rsid w:val="00D621EA"/>
    <w:rsid w:val="00D63337"/>
    <w:rsid w:val="00D6406A"/>
    <w:rsid w:val="00D65E99"/>
    <w:rsid w:val="00D71E66"/>
    <w:rsid w:val="00D733B7"/>
    <w:rsid w:val="00D73F0E"/>
    <w:rsid w:val="00D80D1B"/>
    <w:rsid w:val="00D82CD3"/>
    <w:rsid w:val="00D830B6"/>
    <w:rsid w:val="00D83649"/>
    <w:rsid w:val="00D8527E"/>
    <w:rsid w:val="00D86E40"/>
    <w:rsid w:val="00D86F26"/>
    <w:rsid w:val="00D87AD8"/>
    <w:rsid w:val="00D9082F"/>
    <w:rsid w:val="00DA06BD"/>
    <w:rsid w:val="00DA09EC"/>
    <w:rsid w:val="00DA2DD1"/>
    <w:rsid w:val="00DA3203"/>
    <w:rsid w:val="00DA482A"/>
    <w:rsid w:val="00DA4F10"/>
    <w:rsid w:val="00DA5BC0"/>
    <w:rsid w:val="00DB3A78"/>
    <w:rsid w:val="00DB587E"/>
    <w:rsid w:val="00DB6C4A"/>
    <w:rsid w:val="00DB6D49"/>
    <w:rsid w:val="00DC0C3E"/>
    <w:rsid w:val="00DC377F"/>
    <w:rsid w:val="00DC6DC1"/>
    <w:rsid w:val="00DD0652"/>
    <w:rsid w:val="00DD1325"/>
    <w:rsid w:val="00DD246D"/>
    <w:rsid w:val="00DD6ED5"/>
    <w:rsid w:val="00DD72A0"/>
    <w:rsid w:val="00DE367D"/>
    <w:rsid w:val="00DE4362"/>
    <w:rsid w:val="00DE4FE2"/>
    <w:rsid w:val="00DE5F8F"/>
    <w:rsid w:val="00DF0B11"/>
    <w:rsid w:val="00DF5E62"/>
    <w:rsid w:val="00DF6BF8"/>
    <w:rsid w:val="00DF7CE1"/>
    <w:rsid w:val="00E007A5"/>
    <w:rsid w:val="00E009BF"/>
    <w:rsid w:val="00E01559"/>
    <w:rsid w:val="00E04908"/>
    <w:rsid w:val="00E0563D"/>
    <w:rsid w:val="00E0646B"/>
    <w:rsid w:val="00E10036"/>
    <w:rsid w:val="00E12A6D"/>
    <w:rsid w:val="00E14347"/>
    <w:rsid w:val="00E16423"/>
    <w:rsid w:val="00E21AD1"/>
    <w:rsid w:val="00E23718"/>
    <w:rsid w:val="00E24BD2"/>
    <w:rsid w:val="00E26469"/>
    <w:rsid w:val="00E30943"/>
    <w:rsid w:val="00E3253C"/>
    <w:rsid w:val="00E36100"/>
    <w:rsid w:val="00E362B8"/>
    <w:rsid w:val="00E3661D"/>
    <w:rsid w:val="00E3661F"/>
    <w:rsid w:val="00E4045C"/>
    <w:rsid w:val="00E41D35"/>
    <w:rsid w:val="00E42286"/>
    <w:rsid w:val="00E42999"/>
    <w:rsid w:val="00E50D64"/>
    <w:rsid w:val="00E517A5"/>
    <w:rsid w:val="00E526E4"/>
    <w:rsid w:val="00E53635"/>
    <w:rsid w:val="00E540D7"/>
    <w:rsid w:val="00E5482A"/>
    <w:rsid w:val="00E55B5F"/>
    <w:rsid w:val="00E60A7F"/>
    <w:rsid w:val="00E627AC"/>
    <w:rsid w:val="00E6380A"/>
    <w:rsid w:val="00E64076"/>
    <w:rsid w:val="00E673B5"/>
    <w:rsid w:val="00E70D4C"/>
    <w:rsid w:val="00E75B21"/>
    <w:rsid w:val="00E8164A"/>
    <w:rsid w:val="00E838DA"/>
    <w:rsid w:val="00E849FF"/>
    <w:rsid w:val="00E85E29"/>
    <w:rsid w:val="00E916B4"/>
    <w:rsid w:val="00E9355C"/>
    <w:rsid w:val="00E94430"/>
    <w:rsid w:val="00E946E3"/>
    <w:rsid w:val="00E96060"/>
    <w:rsid w:val="00E97451"/>
    <w:rsid w:val="00E97D7B"/>
    <w:rsid w:val="00EA1A01"/>
    <w:rsid w:val="00EA29B9"/>
    <w:rsid w:val="00EA508E"/>
    <w:rsid w:val="00EB00D1"/>
    <w:rsid w:val="00EB1B19"/>
    <w:rsid w:val="00EB3007"/>
    <w:rsid w:val="00EB35D1"/>
    <w:rsid w:val="00EB5FD2"/>
    <w:rsid w:val="00EB7B22"/>
    <w:rsid w:val="00EC7A6E"/>
    <w:rsid w:val="00ED12E0"/>
    <w:rsid w:val="00ED58B1"/>
    <w:rsid w:val="00EE0D3B"/>
    <w:rsid w:val="00EE181B"/>
    <w:rsid w:val="00EE285B"/>
    <w:rsid w:val="00EE37C9"/>
    <w:rsid w:val="00EE67AC"/>
    <w:rsid w:val="00EE6EBB"/>
    <w:rsid w:val="00EE7E85"/>
    <w:rsid w:val="00EF0CD0"/>
    <w:rsid w:val="00EF3051"/>
    <w:rsid w:val="00EF5509"/>
    <w:rsid w:val="00EF6045"/>
    <w:rsid w:val="00EF764F"/>
    <w:rsid w:val="00F00488"/>
    <w:rsid w:val="00F00ED9"/>
    <w:rsid w:val="00F00FFA"/>
    <w:rsid w:val="00F0293C"/>
    <w:rsid w:val="00F0385E"/>
    <w:rsid w:val="00F133F9"/>
    <w:rsid w:val="00F1399A"/>
    <w:rsid w:val="00F13EF4"/>
    <w:rsid w:val="00F1428D"/>
    <w:rsid w:val="00F24121"/>
    <w:rsid w:val="00F32185"/>
    <w:rsid w:val="00F325E3"/>
    <w:rsid w:val="00F33273"/>
    <w:rsid w:val="00F33EF2"/>
    <w:rsid w:val="00F34556"/>
    <w:rsid w:val="00F358CD"/>
    <w:rsid w:val="00F35FE3"/>
    <w:rsid w:val="00F36616"/>
    <w:rsid w:val="00F36BCB"/>
    <w:rsid w:val="00F36D2C"/>
    <w:rsid w:val="00F36F5B"/>
    <w:rsid w:val="00F37F7C"/>
    <w:rsid w:val="00F424CA"/>
    <w:rsid w:val="00F432A7"/>
    <w:rsid w:val="00F43724"/>
    <w:rsid w:val="00F4457B"/>
    <w:rsid w:val="00F5493C"/>
    <w:rsid w:val="00F60544"/>
    <w:rsid w:val="00F6336B"/>
    <w:rsid w:val="00F6350C"/>
    <w:rsid w:val="00F64E3D"/>
    <w:rsid w:val="00F655AB"/>
    <w:rsid w:val="00F65CF8"/>
    <w:rsid w:val="00F65F92"/>
    <w:rsid w:val="00F67CDB"/>
    <w:rsid w:val="00F74E0C"/>
    <w:rsid w:val="00F75FDC"/>
    <w:rsid w:val="00F80060"/>
    <w:rsid w:val="00F82613"/>
    <w:rsid w:val="00F8451E"/>
    <w:rsid w:val="00F867B1"/>
    <w:rsid w:val="00F868DB"/>
    <w:rsid w:val="00F90578"/>
    <w:rsid w:val="00F92C56"/>
    <w:rsid w:val="00F957AB"/>
    <w:rsid w:val="00F959BC"/>
    <w:rsid w:val="00FA04B6"/>
    <w:rsid w:val="00FA04FA"/>
    <w:rsid w:val="00FB3895"/>
    <w:rsid w:val="00FC01E8"/>
    <w:rsid w:val="00FC0EF3"/>
    <w:rsid w:val="00FC0FC4"/>
    <w:rsid w:val="00FC32B2"/>
    <w:rsid w:val="00FC34AF"/>
    <w:rsid w:val="00FC55BE"/>
    <w:rsid w:val="00FD2CD1"/>
    <w:rsid w:val="00FD6667"/>
    <w:rsid w:val="00FE013F"/>
    <w:rsid w:val="00FE0D33"/>
    <w:rsid w:val="00FE1114"/>
    <w:rsid w:val="00FE3D2D"/>
    <w:rsid w:val="00FE78F5"/>
    <w:rsid w:val="00FF1B0F"/>
    <w:rsid w:val="00FF2C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F6E01"/>
  <w15:chartTrackingRefBased/>
  <w15:docId w15:val="{9D0EAB6B-2CF0-45C6-B9C3-5C55112F9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B86"/>
    <w:rPr>
      <w:sz w:val="22"/>
    </w:rPr>
  </w:style>
  <w:style w:type="paragraph" w:styleId="Heading1">
    <w:name w:val="heading 1"/>
    <w:basedOn w:val="Normal"/>
    <w:next w:val="Normal"/>
    <w:link w:val="Heading1Char"/>
    <w:uiPriority w:val="9"/>
    <w:qFormat/>
    <w:rsid w:val="00383AD6"/>
    <w:pPr>
      <w:keepNext/>
      <w:keepLines/>
      <w:spacing w:before="320" w:after="0" w:line="240" w:lineRule="auto"/>
      <w:outlineLvl w:val="0"/>
    </w:pPr>
    <w:rPr>
      <w:rFonts w:asciiTheme="majorHAnsi" w:eastAsiaTheme="majorEastAsia" w:hAnsiTheme="majorHAnsi" w:cstheme="majorBidi"/>
      <w:color w:val="06162E" w:themeColor="accent1" w:themeShade="BF"/>
      <w:sz w:val="32"/>
      <w:szCs w:val="32"/>
    </w:rPr>
  </w:style>
  <w:style w:type="paragraph" w:styleId="Heading2">
    <w:name w:val="heading 2"/>
    <w:basedOn w:val="Normal"/>
    <w:next w:val="Normal"/>
    <w:link w:val="Heading2Char"/>
    <w:uiPriority w:val="9"/>
    <w:unhideWhenUsed/>
    <w:qFormat/>
    <w:rsid w:val="00383AD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383AD6"/>
    <w:pPr>
      <w:keepNext/>
      <w:keepLines/>
      <w:spacing w:before="40" w:after="0" w:line="240" w:lineRule="auto"/>
      <w:outlineLvl w:val="2"/>
    </w:pPr>
    <w:rPr>
      <w:rFonts w:asciiTheme="majorHAnsi" w:eastAsiaTheme="majorEastAsia" w:hAnsiTheme="majorHAnsi" w:cstheme="majorBidi"/>
      <w:color w:val="081E3E" w:themeColor="text2"/>
      <w:sz w:val="24"/>
      <w:szCs w:val="24"/>
    </w:rPr>
  </w:style>
  <w:style w:type="paragraph" w:styleId="Heading4">
    <w:name w:val="heading 4"/>
    <w:basedOn w:val="Normal"/>
    <w:next w:val="Normal"/>
    <w:link w:val="Heading4Char"/>
    <w:uiPriority w:val="9"/>
    <w:unhideWhenUsed/>
    <w:qFormat/>
    <w:rsid w:val="00383AD6"/>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383AD6"/>
    <w:pPr>
      <w:keepNext/>
      <w:keepLines/>
      <w:spacing w:before="40" w:after="0"/>
      <w:outlineLvl w:val="4"/>
    </w:pPr>
    <w:rPr>
      <w:rFonts w:asciiTheme="majorHAnsi" w:eastAsiaTheme="majorEastAsia" w:hAnsiTheme="majorHAnsi" w:cstheme="majorBidi"/>
      <w:color w:val="081E3E" w:themeColor="text2"/>
      <w:szCs w:val="22"/>
    </w:rPr>
  </w:style>
  <w:style w:type="paragraph" w:styleId="Heading6">
    <w:name w:val="heading 6"/>
    <w:basedOn w:val="Normal"/>
    <w:next w:val="Normal"/>
    <w:link w:val="Heading6Char"/>
    <w:uiPriority w:val="9"/>
    <w:unhideWhenUsed/>
    <w:qFormat/>
    <w:rsid w:val="00383AD6"/>
    <w:pPr>
      <w:keepNext/>
      <w:keepLines/>
      <w:spacing w:before="40" w:after="0"/>
      <w:outlineLvl w:val="5"/>
    </w:pPr>
    <w:rPr>
      <w:rFonts w:asciiTheme="majorHAnsi" w:eastAsiaTheme="majorEastAsia" w:hAnsiTheme="majorHAnsi" w:cstheme="majorBidi"/>
      <w:i/>
      <w:iCs/>
      <w:color w:val="081E3E" w:themeColor="text2"/>
      <w:sz w:val="21"/>
      <w:szCs w:val="21"/>
    </w:rPr>
  </w:style>
  <w:style w:type="paragraph" w:styleId="Heading7">
    <w:name w:val="heading 7"/>
    <w:basedOn w:val="Normal"/>
    <w:next w:val="Normal"/>
    <w:link w:val="Heading7Char"/>
    <w:uiPriority w:val="9"/>
    <w:unhideWhenUsed/>
    <w:qFormat/>
    <w:rsid w:val="00383AD6"/>
    <w:pPr>
      <w:keepNext/>
      <w:keepLines/>
      <w:spacing w:before="40" w:after="0"/>
      <w:outlineLvl w:val="6"/>
    </w:pPr>
    <w:rPr>
      <w:rFonts w:asciiTheme="majorHAnsi" w:eastAsiaTheme="majorEastAsia" w:hAnsiTheme="majorHAnsi" w:cstheme="majorBidi"/>
      <w:i/>
      <w:iCs/>
      <w:color w:val="040E1E" w:themeColor="accent1" w:themeShade="80"/>
      <w:sz w:val="21"/>
      <w:szCs w:val="21"/>
    </w:rPr>
  </w:style>
  <w:style w:type="paragraph" w:styleId="Heading8">
    <w:name w:val="heading 8"/>
    <w:basedOn w:val="Normal"/>
    <w:next w:val="Normal"/>
    <w:link w:val="Heading8Char"/>
    <w:uiPriority w:val="9"/>
    <w:semiHidden/>
    <w:unhideWhenUsed/>
    <w:qFormat/>
    <w:rsid w:val="00383AD6"/>
    <w:pPr>
      <w:keepNext/>
      <w:keepLines/>
      <w:spacing w:before="40" w:after="0"/>
      <w:outlineLvl w:val="7"/>
    </w:pPr>
    <w:rPr>
      <w:rFonts w:asciiTheme="majorHAnsi" w:eastAsiaTheme="majorEastAsia" w:hAnsiTheme="majorHAnsi" w:cstheme="majorBidi"/>
      <w:b/>
      <w:bCs/>
      <w:color w:val="081E3E" w:themeColor="text2"/>
    </w:rPr>
  </w:style>
  <w:style w:type="paragraph" w:styleId="Heading9">
    <w:name w:val="heading 9"/>
    <w:basedOn w:val="Normal"/>
    <w:next w:val="Normal"/>
    <w:link w:val="Heading9Char"/>
    <w:uiPriority w:val="9"/>
    <w:semiHidden/>
    <w:unhideWhenUsed/>
    <w:qFormat/>
    <w:rsid w:val="00383AD6"/>
    <w:pPr>
      <w:keepNext/>
      <w:keepLines/>
      <w:spacing w:before="40" w:after="0"/>
      <w:outlineLvl w:val="8"/>
    </w:pPr>
    <w:rPr>
      <w:rFonts w:asciiTheme="majorHAnsi" w:eastAsiaTheme="majorEastAsia" w:hAnsiTheme="majorHAnsi" w:cstheme="majorBidi"/>
      <w:b/>
      <w:bCs/>
      <w:i/>
      <w:iCs/>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0"/>
    <w:qFormat/>
    <w:rsid w:val="00383AD6"/>
    <w:pPr>
      <w:spacing w:after="0" w:line="240" w:lineRule="auto"/>
      <w:contextualSpacing/>
    </w:pPr>
    <w:rPr>
      <w:rFonts w:asciiTheme="majorHAnsi" w:eastAsiaTheme="majorEastAsia" w:hAnsiTheme="majorHAnsi" w:cstheme="majorBidi"/>
      <w:color w:val="081E3E" w:themeColor="accent1"/>
      <w:spacing w:val="-10"/>
      <w:sz w:val="56"/>
      <w:szCs w:val="56"/>
    </w:rPr>
  </w:style>
  <w:style w:type="character" w:customStyle="1" w:styleId="TitleChar">
    <w:name w:val="Title Char"/>
    <w:basedOn w:val="DefaultParagraphFont"/>
    <w:link w:val="Title"/>
    <w:uiPriority w:val="10"/>
    <w:rsid w:val="00383AD6"/>
    <w:rPr>
      <w:rFonts w:asciiTheme="majorHAnsi" w:eastAsiaTheme="majorEastAsia" w:hAnsiTheme="majorHAnsi" w:cstheme="majorBidi"/>
      <w:color w:val="081E3E" w:themeColor="accent1"/>
      <w:spacing w:val="-10"/>
      <w:sz w:val="56"/>
      <w:szCs w:val="56"/>
    </w:rPr>
  </w:style>
  <w:style w:type="paragraph" w:styleId="Subtitle">
    <w:name w:val="Subtitle"/>
    <w:basedOn w:val="Normal"/>
    <w:next w:val="Normal"/>
    <w:link w:val="SubtitleChar"/>
    <w:uiPriority w:val="11"/>
    <w:qFormat/>
    <w:rsid w:val="00383AD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83AD6"/>
    <w:rPr>
      <w:rFonts w:asciiTheme="majorHAnsi" w:eastAsiaTheme="majorEastAsia" w:hAnsiTheme="majorHAnsi" w:cstheme="majorBidi"/>
      <w:sz w:val="24"/>
      <w:szCs w:val="24"/>
    </w:rPr>
  </w:style>
  <w:style w:type="paragraph" w:customStyle="1" w:styleId="CoverDate">
    <w:name w:val="Cover Date"/>
    <w:basedOn w:val="Normal"/>
    <w:uiPriority w:val="19"/>
    <w:rsid w:val="003261CF"/>
    <w:rPr>
      <w:b/>
    </w:rPr>
  </w:style>
  <w:style w:type="paragraph" w:styleId="Header">
    <w:name w:val="header"/>
    <w:basedOn w:val="Normal"/>
    <w:link w:val="HeaderChar"/>
    <w:uiPriority w:val="99"/>
    <w:unhideWhenUsed/>
    <w:rsid w:val="006565B2"/>
    <w:pPr>
      <w:tabs>
        <w:tab w:val="center" w:pos="4513"/>
        <w:tab w:val="right" w:pos="9026"/>
      </w:tabs>
      <w:spacing w:after="0"/>
      <w:jc w:val="right"/>
    </w:pPr>
    <w:rPr>
      <w:sz w:val="16"/>
    </w:rPr>
  </w:style>
  <w:style w:type="character" w:customStyle="1" w:styleId="HeaderChar">
    <w:name w:val="Header Char"/>
    <w:basedOn w:val="DefaultParagraphFont"/>
    <w:link w:val="Header"/>
    <w:uiPriority w:val="99"/>
    <w:rsid w:val="005912BE"/>
    <w:rPr>
      <w:sz w:val="16"/>
    </w:rPr>
  </w:style>
  <w:style w:type="paragraph" w:styleId="Footer">
    <w:name w:val="footer"/>
    <w:basedOn w:val="Normal"/>
    <w:link w:val="FooterChar"/>
    <w:uiPriority w:val="99"/>
    <w:unhideWhenUsed/>
    <w:rsid w:val="006565B2"/>
    <w:pPr>
      <w:tabs>
        <w:tab w:val="center" w:pos="4513"/>
        <w:tab w:val="right" w:pos="9026"/>
      </w:tabs>
      <w:spacing w:after="0"/>
    </w:pPr>
    <w:rPr>
      <w:sz w:val="16"/>
    </w:rPr>
  </w:style>
  <w:style w:type="character" w:customStyle="1" w:styleId="FooterChar">
    <w:name w:val="Footer Char"/>
    <w:basedOn w:val="DefaultParagraphFont"/>
    <w:link w:val="Footer"/>
    <w:uiPriority w:val="99"/>
    <w:rsid w:val="007A05BE"/>
    <w:rPr>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rsid w:val="0022611D"/>
    <w:pPr>
      <w:spacing w:before="1240" w:after="160"/>
    </w:pPr>
  </w:style>
  <w:style w:type="paragraph" w:styleId="NoSpacing">
    <w:name w:val="No Spacing"/>
    <w:uiPriority w:val="1"/>
    <w:qFormat/>
    <w:rsid w:val="00383AD6"/>
    <w:pPr>
      <w:spacing w:after="0" w:line="240" w:lineRule="auto"/>
    </w:p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383AD6"/>
    <w:rPr>
      <w:rFonts w:asciiTheme="majorHAnsi" w:eastAsiaTheme="majorEastAsia" w:hAnsiTheme="majorHAnsi" w:cstheme="majorBidi"/>
      <w:color w:val="06162E" w:themeColor="accent1" w:themeShade="BF"/>
      <w:sz w:val="32"/>
      <w:szCs w:val="32"/>
    </w:rPr>
  </w:style>
  <w:style w:type="character" w:customStyle="1" w:styleId="Heading2Char">
    <w:name w:val="Heading 2 Char"/>
    <w:basedOn w:val="DefaultParagraphFont"/>
    <w:link w:val="Heading2"/>
    <w:uiPriority w:val="9"/>
    <w:rsid w:val="00383AD6"/>
    <w:rPr>
      <w:rFonts w:asciiTheme="majorHAnsi" w:eastAsiaTheme="majorEastAsia" w:hAnsiTheme="majorHAnsi" w:cstheme="majorBidi"/>
      <w:color w:val="404040" w:themeColor="text1" w:themeTint="BF"/>
      <w:sz w:val="28"/>
      <w:szCs w:val="28"/>
    </w:rPr>
  </w:style>
  <w:style w:type="paragraph" w:customStyle="1" w:styleId="Introduction">
    <w:name w:val="Introduction"/>
    <w:basedOn w:val="Normal"/>
    <w:uiPriority w:val="2"/>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383AD6"/>
    <w:rPr>
      <w:rFonts w:asciiTheme="majorHAnsi" w:eastAsiaTheme="majorEastAsia" w:hAnsiTheme="majorHAnsi" w:cstheme="majorBidi"/>
      <w:color w:val="081E3E" w:themeColor="text2"/>
      <w:sz w:val="24"/>
      <w:szCs w:val="24"/>
    </w:rPr>
  </w:style>
  <w:style w:type="character" w:customStyle="1" w:styleId="Heading4Char">
    <w:name w:val="Heading 4 Char"/>
    <w:basedOn w:val="DefaultParagraphFont"/>
    <w:link w:val="Heading4"/>
    <w:uiPriority w:val="9"/>
    <w:rsid w:val="00383AD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383AD6"/>
    <w:rPr>
      <w:rFonts w:asciiTheme="majorHAnsi" w:eastAsiaTheme="majorEastAsia" w:hAnsiTheme="majorHAnsi" w:cstheme="majorBidi"/>
      <w:color w:val="081E3E" w:themeColor="text2"/>
      <w:sz w:val="22"/>
      <w:szCs w:val="22"/>
    </w:rPr>
  </w:style>
  <w:style w:type="character" w:customStyle="1" w:styleId="Heading6Char">
    <w:name w:val="Heading 6 Char"/>
    <w:basedOn w:val="DefaultParagraphFont"/>
    <w:link w:val="Heading6"/>
    <w:uiPriority w:val="9"/>
    <w:rsid w:val="00383AD6"/>
    <w:rPr>
      <w:rFonts w:asciiTheme="majorHAnsi" w:eastAsiaTheme="majorEastAsia" w:hAnsiTheme="majorHAnsi" w:cstheme="majorBidi"/>
      <w:i/>
      <w:iCs/>
      <w:color w:val="081E3E" w:themeColor="text2"/>
      <w:sz w:val="21"/>
      <w:szCs w:val="21"/>
    </w:rPr>
  </w:style>
  <w:style w:type="paragraph" w:styleId="Caption">
    <w:name w:val="caption"/>
    <w:basedOn w:val="Normal"/>
    <w:next w:val="Normal"/>
    <w:uiPriority w:val="35"/>
    <w:unhideWhenUsed/>
    <w:qFormat/>
    <w:rsid w:val="00383AD6"/>
    <w:pPr>
      <w:spacing w:line="240" w:lineRule="auto"/>
    </w:pPr>
    <w:rPr>
      <w:b/>
      <w:bCs/>
      <w:smallCaps/>
      <w:color w:val="595959" w:themeColor="text1" w:themeTint="A6"/>
      <w:spacing w:val="6"/>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rsid w:val="001349C6"/>
    <w:pPr>
      <w:spacing w:before="120"/>
    </w:pPr>
    <w:rPr>
      <w:sz w:val="16"/>
      <w:lang w:val="x-none"/>
    </w:rPr>
  </w:style>
  <w:style w:type="paragraph" w:customStyle="1" w:styleId="Sourcenotesnumbered">
    <w:name w:val="Source notes numbered"/>
    <w:basedOn w:val="Sourcenotes"/>
    <w:uiPriority w:val="15"/>
    <w:rsid w:val="001349C6"/>
    <w:pPr>
      <w:spacing w:before="80"/>
    </w:pPr>
  </w:style>
  <w:style w:type="paragraph" w:customStyle="1" w:styleId="ListLegal1">
    <w:name w:val="List Legal 1"/>
    <w:basedOn w:val="Normal"/>
    <w:uiPriority w:val="3"/>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rsid w:val="00CF6CFD"/>
    <w:pPr>
      <w:numPr>
        <w:numId w:val="35"/>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unhideWhenUsed/>
    <w:qFormat/>
    <w:rsid w:val="00383AD6"/>
    <w:pPr>
      <w:outlineLvl w:val="9"/>
    </w:pPr>
  </w:style>
  <w:style w:type="paragraph" w:customStyle="1" w:styleId="Box1Text">
    <w:name w:val="Box 1 Text"/>
    <w:basedOn w:val="Normal"/>
    <w:uiPriority w:val="23"/>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rsid w:val="00CF6CFD"/>
    <w:rPr>
      <w:b/>
    </w:rPr>
  </w:style>
  <w:style w:type="paragraph" w:customStyle="1" w:styleId="Box1Bullet1">
    <w:name w:val="Box 1 Bullet 1"/>
    <w:basedOn w:val="Box1Text"/>
    <w:uiPriority w:val="24"/>
    <w:rsid w:val="009D7CCE"/>
    <w:pPr>
      <w:numPr>
        <w:numId w:val="27"/>
      </w:numPr>
      <w:spacing w:before="80"/>
    </w:pPr>
    <w:rPr>
      <w:kern w:val="12"/>
    </w:rPr>
  </w:style>
  <w:style w:type="paragraph" w:customStyle="1" w:styleId="Box2Text">
    <w:name w:val="Box 2 Text"/>
    <w:basedOn w:val="Normal"/>
    <w:uiPriority w:val="24"/>
    <w:rsid w:val="009D7CCE"/>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rsid w:val="00541213"/>
    <w:rPr>
      <w:b/>
    </w:rPr>
  </w:style>
  <w:style w:type="paragraph" w:customStyle="1" w:styleId="Box2Bullet1">
    <w:name w:val="Box 2 Bullet 1"/>
    <w:basedOn w:val="Box2Text"/>
    <w:uiPriority w:val="25"/>
    <w:rsid w:val="009D7CCE"/>
    <w:pPr>
      <w:numPr>
        <w:ilvl w:val="1"/>
        <w:numId w:val="27"/>
      </w:numPr>
      <w:spacing w:before="80"/>
    </w:pPr>
    <w:rPr>
      <w:kern w:val="12"/>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383AD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83AD6"/>
    <w:rPr>
      <w:i/>
      <w:iCs/>
      <w:color w:val="404040" w:themeColor="text1" w:themeTint="BF"/>
    </w:rPr>
  </w:style>
  <w:style w:type="paragraph" w:styleId="TOC1">
    <w:name w:val="toc 1"/>
    <w:basedOn w:val="Normal"/>
    <w:next w:val="Normal"/>
    <w:autoRedefine/>
    <w:uiPriority w:val="39"/>
    <w:rsid w:val="00291050"/>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0F3CB8"/>
    <w:pPr>
      <w:spacing w:before="80"/>
      <w:ind w:left="720" w:hanging="720"/>
    </w:pPr>
  </w:style>
  <w:style w:type="paragraph" w:customStyle="1" w:styleId="AreaHeading">
    <w:name w:val="Area Heading"/>
    <w:basedOn w:val="Normal"/>
    <w:rsid w:val="004063DE"/>
    <w:pPr>
      <w:ind w:left="-1020" w:firstLine="1020"/>
    </w:pPr>
    <w:rPr>
      <w:rFonts w:cs="Times New Roman (Body CS)"/>
      <w:caps/>
      <w:color w:val="49515C" w:themeColor="accent4" w:themeShade="80"/>
    </w:rPr>
  </w:style>
  <w:style w:type="paragraph" w:customStyle="1" w:styleId="Box2Checklist">
    <w:name w:val="Box 2 Checklist"/>
    <w:basedOn w:val="Box2Text"/>
    <w:uiPriority w:val="26"/>
    <w:rsid w:val="009D7CCE"/>
    <w:pPr>
      <w:numPr>
        <w:ilvl w:val="2"/>
        <w:numId w:val="27"/>
      </w:numPr>
    </w:pPr>
    <w:rPr>
      <w:kern w:val="12"/>
    </w:rPr>
  </w:style>
  <w:style w:type="numbering" w:customStyle="1" w:styleId="BoxedBullets">
    <w:name w:val="Boxed Bullets"/>
    <w:uiPriority w:val="99"/>
    <w:rsid w:val="009D7CCE"/>
    <w:pPr>
      <w:numPr>
        <w:numId w:val="24"/>
      </w:numPr>
    </w:pPr>
  </w:style>
  <w:style w:type="paragraph" w:customStyle="1" w:styleId="SecurityMarker">
    <w:name w:val="Security Marker"/>
    <w:basedOn w:val="Normal"/>
    <w:rsid w:val="00827492"/>
    <w:pPr>
      <w:spacing w:before="60" w:after="60"/>
      <w:ind w:left="-1247"/>
      <w:jc w:val="center"/>
    </w:pPr>
    <w:rPr>
      <w:b/>
      <w:bCs/>
      <w:caps/>
      <w:color w:val="E10000"/>
      <w:sz w:val="28"/>
      <w:szCs w:val="28"/>
    </w:rPr>
  </w:style>
  <w:style w:type="character" w:styleId="FollowedHyperlink">
    <w:name w:val="FollowedHyperlink"/>
    <w:basedOn w:val="DefaultParagraphFont"/>
    <w:uiPriority w:val="99"/>
    <w:semiHidden/>
    <w:unhideWhenUsed/>
    <w:rsid w:val="00216AED"/>
    <w:rPr>
      <w:color w:val="0046FF"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unhideWhenUsed/>
    <w:rsid w:val="00666D51"/>
  </w:style>
  <w:style w:type="character" w:customStyle="1" w:styleId="CommentTextChar">
    <w:name w:val="Comment Text Char"/>
    <w:basedOn w:val="DefaultParagraphFont"/>
    <w:link w:val="CommentText"/>
    <w:uiPriority w:val="99"/>
    <w:rsid w:val="00666D51"/>
    <w:rPr>
      <w:sz w:val="20"/>
      <w:szCs w:val="20"/>
    </w:rPr>
  </w:style>
  <w:style w:type="paragraph" w:styleId="CommentSubject">
    <w:name w:val="annotation subject"/>
    <w:basedOn w:val="CommentText"/>
    <w:next w:val="CommentText"/>
    <w:link w:val="CommentSubjectChar"/>
    <w:uiPriority w:val="99"/>
    <w:semiHidden/>
    <w:unhideWhenUsed/>
    <w:rsid w:val="006565B2"/>
    <w:rPr>
      <w:b/>
      <w:bCs/>
    </w:rPr>
  </w:style>
  <w:style w:type="character" w:customStyle="1" w:styleId="CommentSubjectChar">
    <w:name w:val="Comment Subject Char"/>
    <w:basedOn w:val="CommentTextChar"/>
    <w:link w:val="CommentSubject"/>
    <w:uiPriority w:val="99"/>
    <w:semiHidden/>
    <w:rsid w:val="00666D51"/>
    <w:rPr>
      <w:b/>
      <w:bCs/>
      <w:sz w:val="22"/>
      <w:szCs w:val="20"/>
    </w:rPr>
  </w:style>
  <w:style w:type="paragraph" w:styleId="BalloonText">
    <w:name w:val="Balloon Text"/>
    <w:basedOn w:val="Normal"/>
    <w:link w:val="BalloonTextChar"/>
    <w:uiPriority w:val="99"/>
    <w:semiHidden/>
    <w:unhideWhenUsed/>
    <w:rsid w:val="00474B8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paragraph" w:styleId="ListParagraph">
    <w:name w:val="List Paragraph"/>
    <w:basedOn w:val="Normal"/>
    <w:uiPriority w:val="34"/>
    <w:qFormat/>
    <w:rsid w:val="000075AC"/>
    <w:pPr>
      <w:ind w:left="720"/>
      <w:contextualSpacing/>
    </w:pPr>
  </w:style>
  <w:style w:type="character" w:customStyle="1" w:styleId="Heading7Char">
    <w:name w:val="Heading 7 Char"/>
    <w:basedOn w:val="DefaultParagraphFont"/>
    <w:link w:val="Heading7"/>
    <w:uiPriority w:val="9"/>
    <w:rsid w:val="00383AD6"/>
    <w:rPr>
      <w:rFonts w:asciiTheme="majorHAnsi" w:eastAsiaTheme="majorEastAsia" w:hAnsiTheme="majorHAnsi" w:cstheme="majorBidi"/>
      <w:i/>
      <w:iCs/>
      <w:color w:val="040E1E" w:themeColor="accent1" w:themeShade="80"/>
      <w:sz w:val="21"/>
      <w:szCs w:val="21"/>
    </w:rPr>
  </w:style>
  <w:style w:type="character" w:customStyle="1" w:styleId="Heading8Char">
    <w:name w:val="Heading 8 Char"/>
    <w:basedOn w:val="DefaultParagraphFont"/>
    <w:link w:val="Heading8"/>
    <w:uiPriority w:val="9"/>
    <w:semiHidden/>
    <w:rsid w:val="00383AD6"/>
    <w:rPr>
      <w:rFonts w:asciiTheme="majorHAnsi" w:eastAsiaTheme="majorEastAsia" w:hAnsiTheme="majorHAnsi" w:cstheme="majorBidi"/>
      <w:b/>
      <w:bCs/>
      <w:color w:val="081E3E" w:themeColor="text2"/>
    </w:rPr>
  </w:style>
  <w:style w:type="character" w:customStyle="1" w:styleId="Heading9Char">
    <w:name w:val="Heading 9 Char"/>
    <w:basedOn w:val="DefaultParagraphFont"/>
    <w:link w:val="Heading9"/>
    <w:uiPriority w:val="9"/>
    <w:semiHidden/>
    <w:rsid w:val="00383AD6"/>
    <w:rPr>
      <w:rFonts w:asciiTheme="majorHAnsi" w:eastAsiaTheme="majorEastAsia" w:hAnsiTheme="majorHAnsi" w:cstheme="majorBidi"/>
      <w:b/>
      <w:bCs/>
      <w:i/>
      <w:iCs/>
      <w:color w:val="081E3E" w:themeColor="text2"/>
    </w:rPr>
  </w:style>
  <w:style w:type="character" w:styleId="Strong">
    <w:name w:val="Strong"/>
    <w:basedOn w:val="DefaultParagraphFont"/>
    <w:uiPriority w:val="22"/>
    <w:qFormat/>
    <w:rsid w:val="00383AD6"/>
    <w:rPr>
      <w:b/>
      <w:bCs/>
    </w:rPr>
  </w:style>
  <w:style w:type="character" w:styleId="Emphasis">
    <w:name w:val="Emphasis"/>
    <w:basedOn w:val="DefaultParagraphFont"/>
    <w:uiPriority w:val="20"/>
    <w:qFormat/>
    <w:rsid w:val="00383AD6"/>
    <w:rPr>
      <w:i/>
      <w:iCs/>
    </w:rPr>
  </w:style>
  <w:style w:type="paragraph" w:styleId="IntenseQuote">
    <w:name w:val="Intense Quote"/>
    <w:basedOn w:val="Normal"/>
    <w:next w:val="Normal"/>
    <w:link w:val="IntenseQuoteChar"/>
    <w:uiPriority w:val="30"/>
    <w:qFormat/>
    <w:rsid w:val="00383AD6"/>
    <w:pPr>
      <w:pBdr>
        <w:left w:val="single" w:sz="18" w:space="12" w:color="081E3E" w:themeColor="accent1"/>
      </w:pBdr>
      <w:spacing w:before="100" w:beforeAutospacing="1" w:line="300" w:lineRule="auto"/>
      <w:ind w:left="1224" w:right="1224"/>
    </w:pPr>
    <w:rPr>
      <w:rFonts w:asciiTheme="majorHAnsi" w:eastAsiaTheme="majorEastAsia" w:hAnsiTheme="majorHAnsi" w:cstheme="majorBidi"/>
      <w:color w:val="081E3E" w:themeColor="accent1"/>
      <w:sz w:val="28"/>
      <w:szCs w:val="28"/>
    </w:rPr>
  </w:style>
  <w:style w:type="character" w:customStyle="1" w:styleId="IntenseQuoteChar">
    <w:name w:val="Intense Quote Char"/>
    <w:basedOn w:val="DefaultParagraphFont"/>
    <w:link w:val="IntenseQuote"/>
    <w:uiPriority w:val="30"/>
    <w:rsid w:val="00383AD6"/>
    <w:rPr>
      <w:rFonts w:asciiTheme="majorHAnsi" w:eastAsiaTheme="majorEastAsia" w:hAnsiTheme="majorHAnsi" w:cstheme="majorBidi"/>
      <w:color w:val="081E3E" w:themeColor="accent1"/>
      <w:sz w:val="28"/>
      <w:szCs w:val="28"/>
    </w:rPr>
  </w:style>
  <w:style w:type="character" w:styleId="SubtleEmphasis">
    <w:name w:val="Subtle Emphasis"/>
    <w:basedOn w:val="DefaultParagraphFont"/>
    <w:uiPriority w:val="19"/>
    <w:qFormat/>
    <w:rsid w:val="00383AD6"/>
    <w:rPr>
      <w:i/>
      <w:iCs/>
      <w:color w:val="404040" w:themeColor="text1" w:themeTint="BF"/>
    </w:rPr>
  </w:style>
  <w:style w:type="character" w:styleId="IntenseEmphasis">
    <w:name w:val="Intense Emphasis"/>
    <w:basedOn w:val="DefaultParagraphFont"/>
    <w:uiPriority w:val="21"/>
    <w:qFormat/>
    <w:rsid w:val="00383AD6"/>
    <w:rPr>
      <w:b/>
      <w:bCs/>
      <w:i/>
      <w:iCs/>
    </w:rPr>
  </w:style>
  <w:style w:type="character" w:styleId="SubtleReference">
    <w:name w:val="Subtle Reference"/>
    <w:basedOn w:val="DefaultParagraphFont"/>
    <w:uiPriority w:val="31"/>
    <w:qFormat/>
    <w:rsid w:val="00383AD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83AD6"/>
    <w:rPr>
      <w:b/>
      <w:bCs/>
      <w:smallCaps/>
      <w:spacing w:val="5"/>
      <w:u w:val="single"/>
    </w:rPr>
  </w:style>
  <w:style w:type="character" w:styleId="BookTitle">
    <w:name w:val="Book Title"/>
    <w:basedOn w:val="DefaultParagraphFont"/>
    <w:uiPriority w:val="33"/>
    <w:qFormat/>
    <w:rsid w:val="00383AD6"/>
    <w:rPr>
      <w:b/>
      <w:bCs/>
      <w:smallCaps/>
    </w:rPr>
  </w:style>
  <w:style w:type="character" w:styleId="UnresolvedMention">
    <w:name w:val="Unresolved Mention"/>
    <w:basedOn w:val="DefaultParagraphFont"/>
    <w:uiPriority w:val="99"/>
    <w:semiHidden/>
    <w:unhideWhenUsed/>
    <w:rsid w:val="0016489B"/>
    <w:rPr>
      <w:color w:val="605E5C"/>
      <w:shd w:val="clear" w:color="auto" w:fill="E1DFDD"/>
    </w:rPr>
  </w:style>
  <w:style w:type="paragraph" w:styleId="Revision">
    <w:name w:val="Revision"/>
    <w:hidden/>
    <w:uiPriority w:val="99"/>
    <w:semiHidden/>
    <w:rsid w:val="00A66355"/>
    <w:pPr>
      <w:spacing w:after="0" w:line="240" w:lineRule="auto"/>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143637">
      <w:bodyDiv w:val="1"/>
      <w:marLeft w:val="0"/>
      <w:marRight w:val="0"/>
      <w:marTop w:val="0"/>
      <w:marBottom w:val="0"/>
      <w:divBdr>
        <w:top w:val="none" w:sz="0" w:space="0" w:color="auto"/>
        <w:left w:val="none" w:sz="0" w:space="0" w:color="auto"/>
        <w:bottom w:val="none" w:sz="0" w:space="0" w:color="auto"/>
        <w:right w:val="none" w:sz="0" w:space="0" w:color="auto"/>
      </w:divBdr>
    </w:div>
    <w:div w:id="303970918">
      <w:bodyDiv w:val="1"/>
      <w:marLeft w:val="0"/>
      <w:marRight w:val="0"/>
      <w:marTop w:val="0"/>
      <w:marBottom w:val="0"/>
      <w:divBdr>
        <w:top w:val="none" w:sz="0" w:space="0" w:color="auto"/>
        <w:left w:val="none" w:sz="0" w:space="0" w:color="auto"/>
        <w:bottom w:val="none" w:sz="0" w:space="0" w:color="auto"/>
        <w:right w:val="none" w:sz="0" w:space="0" w:color="auto"/>
      </w:divBdr>
    </w:div>
    <w:div w:id="746532207">
      <w:bodyDiv w:val="1"/>
      <w:marLeft w:val="0"/>
      <w:marRight w:val="0"/>
      <w:marTop w:val="0"/>
      <w:marBottom w:val="0"/>
      <w:divBdr>
        <w:top w:val="none" w:sz="0" w:space="0" w:color="auto"/>
        <w:left w:val="none" w:sz="0" w:space="0" w:color="auto"/>
        <w:bottom w:val="none" w:sz="0" w:space="0" w:color="auto"/>
        <w:right w:val="none" w:sz="0" w:space="0" w:color="auto"/>
      </w:divBdr>
    </w:div>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933365202">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95120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3.xml"/><Relationship Id="rId42" Type="http://schemas.openxmlformats.org/officeDocument/2006/relationships/image" Target="media/image19.jpeg"/><Relationship Id="rId47" Type="http://schemas.openxmlformats.org/officeDocument/2006/relationships/image" Target="media/image22.png"/><Relationship Id="rId63" Type="http://schemas.openxmlformats.org/officeDocument/2006/relationships/hyperlink" Target="https://catalogue.data.infrastructure.gov.au/dataset/harmonised-national-roadworks-and-road-closures" TargetMode="External"/><Relationship Id="rId68" Type="http://schemas.openxmlformats.org/officeDocument/2006/relationships/hyperlink" Target="https://www.bitre.gov.au/publications/2025/australian-infrastructure-and-transport-statistics-yearbook-2025" TargetMode="External"/><Relationship Id="rId16" Type="http://schemas.openxmlformats.org/officeDocument/2006/relationships/footer" Target="footer3.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hyperlink" Target="https://www.bitre.gov.au/publications/2025/australian-infrastructure-and-transport-statistics-yearbook-2025" TargetMode="External"/><Relationship Id="rId58" Type="http://schemas.openxmlformats.org/officeDocument/2006/relationships/hyperlink" Target="https://lpi.worldbank.org/" TargetMode="External"/><Relationship Id="rId66" Type="http://schemas.openxmlformats.org/officeDocument/2006/relationships/image" Target="media/image32.png"/><Relationship Id="rId74" Type="http://schemas.openxmlformats.org/officeDocument/2006/relationships/image" Target="media/image35.png"/><Relationship Id="rId79"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pmc.gov.au/resources/commonwealth-coat-arms-information-and-guidelines" TargetMode="Externa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6.jpeg"/><Relationship Id="rId30" Type="http://schemas.openxmlformats.org/officeDocument/2006/relationships/hyperlink" Target="https://www.vic.gov.au/freight-victoria" TargetMode="Externa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hyperlink" Target="https://www.bitre.gov.au/publications/2025/australian-infrastructure-and-transport-statistics-yearbook-2025" TargetMode="External"/><Relationship Id="rId56" Type="http://schemas.openxmlformats.org/officeDocument/2006/relationships/hyperlink" Target="https://lpi.worldbank.org/" TargetMode="External"/><Relationship Id="rId64" Type="http://schemas.openxmlformats.org/officeDocument/2006/relationships/image" Target="media/image31.png"/><Relationship Id="rId69" Type="http://schemas.openxmlformats.org/officeDocument/2006/relationships/image" Target="media/image33.png"/><Relationship Id="rId77" Type="http://schemas.openxmlformats.org/officeDocument/2006/relationships/image" Target="media/image37.jpeg"/><Relationship Id="rId8" Type="http://schemas.openxmlformats.org/officeDocument/2006/relationships/webSettings" Target="webSettings.xml"/><Relationship Id="rId51" Type="http://schemas.openxmlformats.org/officeDocument/2006/relationships/hyperlink" Target="https://www.bitre.gov.au/publications/2025/australian-infrastructure-and-transport-statistics-yearbook-2025" TargetMode="External"/><Relationship Id="rId72" Type="http://schemas.openxmlformats.org/officeDocument/2006/relationships/image" Target="media/image34.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4.jpeg"/><Relationship Id="rId33" Type="http://schemas.openxmlformats.org/officeDocument/2006/relationships/image" Target="media/image11.png"/><Relationship Id="rId38" Type="http://schemas.openxmlformats.org/officeDocument/2006/relationships/image" Target="media/image15.jpeg"/><Relationship Id="rId46" Type="http://schemas.openxmlformats.org/officeDocument/2006/relationships/hyperlink" Target="https://www.bitre.gov.au/publications/2025/australian-infrastructure-and-transport-statistics-yearbook-2025" TargetMode="External"/><Relationship Id="rId59" Type="http://schemas.openxmlformats.org/officeDocument/2006/relationships/image" Target="media/image28.png"/><Relationship Id="rId67" Type="http://schemas.openxmlformats.org/officeDocument/2006/relationships/hyperlink" Target="https://datahub.roadsafety.gov.au/safe-systems/safe-vehicles/heavy-vehicle-road-deaths" TargetMode="External"/><Relationship Id="rId20" Type="http://schemas.openxmlformats.org/officeDocument/2006/relationships/hyperlink" Target="https://www.freightaustralia.gov.au/" TargetMode="External"/><Relationship Id="rId41" Type="http://schemas.openxmlformats.org/officeDocument/2006/relationships/image" Target="media/image18.png"/><Relationship Id="rId54" Type="http://schemas.openxmlformats.org/officeDocument/2006/relationships/image" Target="media/image26.png"/><Relationship Id="rId62" Type="http://schemas.openxmlformats.org/officeDocument/2006/relationships/image" Target="media/image30.png"/><Relationship Id="rId70" Type="http://schemas.openxmlformats.org/officeDocument/2006/relationships/hyperlink" Target="https://www.onrsr.com.au/publications/national-rail-safety-data" TargetMode="External"/><Relationship Id="rId75" Type="http://schemas.openxmlformats.org/officeDocument/2006/relationships/hyperlink" Target="https://data.safeworkaustralia.gov.au/about-our-datasets/workers-compensation-dat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7.png"/><Relationship Id="rId36" Type="http://schemas.openxmlformats.org/officeDocument/2006/relationships/hyperlink" Target="http://www.dit.sa.gov.au/about-us/strategies-plans/freight-supply-chain-strategy" TargetMode="External"/><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www.bitre.gov.au/publications/2025/australian-infrastructure-and-transport-statistics-yearbook-2025" TargetMode="External"/><Relationship Id="rId52" Type="http://schemas.openxmlformats.org/officeDocument/2006/relationships/image" Target="media/image25.png"/><Relationship Id="rId60" Type="http://schemas.openxmlformats.org/officeDocument/2006/relationships/hyperlink" Target="https://www.abs.gov.au/statistics/economy/price-indexes-and-inflation/producer-price-indexes-australia/jun-2025" TargetMode="External"/><Relationship Id="rId65" Type="http://schemas.openxmlformats.org/officeDocument/2006/relationships/hyperlink" Target="https://datahub.roadsafety.gov.au/safe-systems/safe-vehicles/heavy-vehicle-road-deaths" TargetMode="External"/><Relationship Id="rId73" Type="http://schemas.openxmlformats.org/officeDocument/2006/relationships/hyperlink" Target="https://data.safeworkaustralia.gov.au/about-our-datasets/work-related-fatalities-data"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16.png"/><Relationship Id="rId34" Type="http://schemas.openxmlformats.org/officeDocument/2006/relationships/image" Target="media/image12.png"/><Relationship Id="rId50" Type="http://schemas.openxmlformats.org/officeDocument/2006/relationships/image" Target="media/image24.png"/><Relationship Id="rId55" Type="http://schemas.openxmlformats.org/officeDocument/2006/relationships/chart" Target="charts/chart1.xml"/><Relationship Id="rId76" Type="http://schemas.openxmlformats.org/officeDocument/2006/relationships/image" Target="media/image36.jpeg"/><Relationship Id="rId7" Type="http://schemas.openxmlformats.org/officeDocument/2006/relationships/settings" Target="settings.xml"/><Relationship Id="rId71" Type="http://schemas.openxmlformats.org/officeDocument/2006/relationships/hyperlink" Target="https://www.onrsr.com.au/publications/national-rail-safety-data" TargetMode="External"/><Relationship Id="rId2" Type="http://schemas.openxmlformats.org/officeDocument/2006/relationships/customXml" Target="../customXml/item2.xml"/><Relationship Id="rId29"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data.safeworkaustralia.gov.au/profile/whs-profile-truck-drivers" TargetMode="External"/><Relationship Id="rId3" Type="http://schemas.openxmlformats.org/officeDocument/2006/relationships/hyperlink" Target="https://www.bitre.gov.au/sites/default/files/documents/bitre-yearbook-2023.pdf" TargetMode="External"/><Relationship Id="rId7" Type="http://schemas.openxmlformats.org/officeDocument/2006/relationships/hyperlink" Target="https://www.abs.gov.au/statistics/labour/employment-and-unemployment/labour-force-australia-detailed/jul-2025" TargetMode="External"/><Relationship Id="rId2" Type="http://schemas.openxmlformats.org/officeDocument/2006/relationships/hyperlink" Target="https://www.bitre.gov.au/publications/2023/australian-sea-freight-2020-21" TargetMode="External"/><Relationship Id="rId1" Type="http://schemas.openxmlformats.org/officeDocument/2006/relationships/hyperlink" Target="https://www.bitre.gov.au/publications/2022/australian-aggregate-freight-forecasts-2022-update" TargetMode="External"/><Relationship Id="rId6" Type="http://schemas.openxmlformats.org/officeDocument/2006/relationships/hyperlink" Target="https://www.aidr.org.au/media/11931/aidr_major-incidents-report_2024-25.pdf" TargetMode="External"/><Relationship Id="rId5" Type="http://schemas.openxmlformats.org/officeDocument/2006/relationships/hyperlink" Target="https://www.abs.gov.au/statistics/economy/price-indexes-and-inflation/producer-price-indexes-australia/dec-2022" TargetMode="External"/><Relationship Id="rId4" Type="http://schemas.openxmlformats.org/officeDocument/2006/relationships/hyperlink" Target="https://www.abs.gov.au/statistics/economy/price-indexes-and-inflation/producer-price-indexes-australia/dec-2021" TargetMode="External"/><Relationship Id="rId9" Type="http://schemas.openxmlformats.org/officeDocument/2006/relationships/hyperlink" Target="https://data.safeworkaustralia.gov.au/profile/whs-profile-truck-drive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Report%20portrai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workspace.internal.dotars.gov.au/sites/STPD/FSC/NFSCS%20Annual%20report%202024-2025/International_LPI_from_2007_to_2023_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Sheet2!$G$4</c:f>
              <c:strCache>
                <c:ptCount val="1"/>
                <c:pt idx="0">
                  <c:v>2014</c:v>
                </c:pt>
              </c:strCache>
            </c:strRef>
          </c:tx>
          <c:spPr>
            <a:solidFill>
              <a:schemeClr val="accent1"/>
            </a:solidFill>
            <a:ln>
              <a:noFill/>
            </a:ln>
            <a:effectLst/>
          </c:spPr>
          <c:invertIfNegative val="0"/>
          <c:cat>
            <c:strRef>
              <c:f>Sheet2!$F$5:$F$10</c:f>
              <c:strCache>
                <c:ptCount val="6"/>
                <c:pt idx="0">
                  <c:v>Australia</c:v>
                </c:pt>
                <c:pt idx="1">
                  <c:v>Canada</c:v>
                </c:pt>
                <c:pt idx="2">
                  <c:v>New Zealand</c:v>
                </c:pt>
                <c:pt idx="3">
                  <c:v>Singapore</c:v>
                </c:pt>
                <c:pt idx="4">
                  <c:v>United Kingdom</c:v>
                </c:pt>
                <c:pt idx="5">
                  <c:v>United States</c:v>
                </c:pt>
              </c:strCache>
            </c:strRef>
          </c:cat>
          <c:val>
            <c:numRef>
              <c:f>Sheet2!$G$5:$G$10</c:f>
              <c:numCache>
                <c:formatCode>0.0</c:formatCode>
                <c:ptCount val="6"/>
                <c:pt idx="0">
                  <c:v>3.8107760000000002</c:v>
                </c:pt>
                <c:pt idx="1">
                  <c:v>3.8554979999999999</c:v>
                </c:pt>
                <c:pt idx="2">
                  <c:v>3.6438920000000001</c:v>
                </c:pt>
                <c:pt idx="3">
                  <c:v>4.004448</c:v>
                </c:pt>
                <c:pt idx="4">
                  <c:v>4.0146490000000004</c:v>
                </c:pt>
                <c:pt idx="5">
                  <c:v>3.9178250000000001</c:v>
                </c:pt>
              </c:numCache>
            </c:numRef>
          </c:val>
          <c:extLst>
            <c:ext xmlns:c16="http://schemas.microsoft.com/office/drawing/2014/chart" uri="{C3380CC4-5D6E-409C-BE32-E72D297353CC}">
              <c16:uniqueId val="{00000000-3BE1-406E-A25A-95DAE298CEB8}"/>
            </c:ext>
          </c:extLst>
        </c:ser>
        <c:ser>
          <c:idx val="1"/>
          <c:order val="1"/>
          <c:tx>
            <c:strRef>
              <c:f>Sheet2!$H$4</c:f>
              <c:strCache>
                <c:ptCount val="1"/>
                <c:pt idx="0">
                  <c:v>2016</c:v>
                </c:pt>
              </c:strCache>
            </c:strRef>
          </c:tx>
          <c:spPr>
            <a:solidFill>
              <a:schemeClr val="accent2"/>
            </a:solidFill>
            <a:ln>
              <a:noFill/>
            </a:ln>
            <a:effectLst/>
          </c:spPr>
          <c:invertIfNegative val="0"/>
          <c:cat>
            <c:strRef>
              <c:f>Sheet2!$F$5:$F$10</c:f>
              <c:strCache>
                <c:ptCount val="6"/>
                <c:pt idx="0">
                  <c:v>Australia</c:v>
                </c:pt>
                <c:pt idx="1">
                  <c:v>Canada</c:v>
                </c:pt>
                <c:pt idx="2">
                  <c:v>New Zealand</c:v>
                </c:pt>
                <c:pt idx="3">
                  <c:v>Singapore</c:v>
                </c:pt>
                <c:pt idx="4">
                  <c:v>United Kingdom</c:v>
                </c:pt>
                <c:pt idx="5">
                  <c:v>United States</c:v>
                </c:pt>
              </c:strCache>
            </c:strRef>
          </c:cat>
          <c:val>
            <c:numRef>
              <c:f>Sheet2!$H$5:$H$10</c:f>
              <c:numCache>
                <c:formatCode>0.0</c:formatCode>
                <c:ptCount val="6"/>
                <c:pt idx="0">
                  <c:v>3.7933849999999998</c:v>
                </c:pt>
                <c:pt idx="1">
                  <c:v>3.930707</c:v>
                </c:pt>
                <c:pt idx="2">
                  <c:v>3.3879999999999999</c:v>
                </c:pt>
                <c:pt idx="3">
                  <c:v>4.1436320000000002</c:v>
                </c:pt>
                <c:pt idx="4">
                  <c:v>4.0696690000000002</c:v>
                </c:pt>
                <c:pt idx="5">
                  <c:v>3.9921720000000001</c:v>
                </c:pt>
              </c:numCache>
            </c:numRef>
          </c:val>
          <c:extLst>
            <c:ext xmlns:c16="http://schemas.microsoft.com/office/drawing/2014/chart" uri="{C3380CC4-5D6E-409C-BE32-E72D297353CC}">
              <c16:uniqueId val="{00000001-3BE1-406E-A25A-95DAE298CEB8}"/>
            </c:ext>
          </c:extLst>
        </c:ser>
        <c:ser>
          <c:idx val="2"/>
          <c:order val="2"/>
          <c:tx>
            <c:strRef>
              <c:f>Sheet2!$I$4</c:f>
              <c:strCache>
                <c:ptCount val="1"/>
                <c:pt idx="0">
                  <c:v>2018</c:v>
                </c:pt>
              </c:strCache>
            </c:strRef>
          </c:tx>
          <c:spPr>
            <a:solidFill>
              <a:schemeClr val="accent3"/>
            </a:solidFill>
            <a:ln>
              <a:noFill/>
            </a:ln>
            <a:effectLst/>
          </c:spPr>
          <c:invertIfNegative val="0"/>
          <c:cat>
            <c:strRef>
              <c:f>Sheet2!$F$5:$F$10</c:f>
              <c:strCache>
                <c:ptCount val="6"/>
                <c:pt idx="0">
                  <c:v>Australia</c:v>
                </c:pt>
                <c:pt idx="1">
                  <c:v>Canada</c:v>
                </c:pt>
                <c:pt idx="2">
                  <c:v>New Zealand</c:v>
                </c:pt>
                <c:pt idx="3">
                  <c:v>Singapore</c:v>
                </c:pt>
                <c:pt idx="4">
                  <c:v>United Kingdom</c:v>
                </c:pt>
                <c:pt idx="5">
                  <c:v>United States</c:v>
                </c:pt>
              </c:strCache>
            </c:strRef>
          </c:cat>
          <c:val>
            <c:numRef>
              <c:f>Sheet2!$I$5:$I$10</c:f>
              <c:numCache>
                <c:formatCode>0.0</c:formatCode>
                <c:ptCount val="6"/>
                <c:pt idx="0">
                  <c:v>3.7514310000000002</c:v>
                </c:pt>
                <c:pt idx="1">
                  <c:v>3.726715</c:v>
                </c:pt>
                <c:pt idx="2">
                  <c:v>3.8756439999999999</c:v>
                </c:pt>
                <c:pt idx="3">
                  <c:v>3.9961190000000002</c:v>
                </c:pt>
                <c:pt idx="4">
                  <c:v>3.9870570000000001</c:v>
                </c:pt>
                <c:pt idx="5">
                  <c:v>3.8851290000000001</c:v>
                </c:pt>
              </c:numCache>
            </c:numRef>
          </c:val>
          <c:extLst>
            <c:ext xmlns:c16="http://schemas.microsoft.com/office/drawing/2014/chart" uri="{C3380CC4-5D6E-409C-BE32-E72D297353CC}">
              <c16:uniqueId val="{00000002-3BE1-406E-A25A-95DAE298CEB8}"/>
            </c:ext>
          </c:extLst>
        </c:ser>
        <c:ser>
          <c:idx val="3"/>
          <c:order val="3"/>
          <c:tx>
            <c:strRef>
              <c:f>Sheet2!$J$4</c:f>
              <c:strCache>
                <c:ptCount val="1"/>
                <c:pt idx="0">
                  <c:v>2023</c:v>
                </c:pt>
              </c:strCache>
            </c:strRef>
          </c:tx>
          <c:spPr>
            <a:solidFill>
              <a:schemeClr val="accent4"/>
            </a:solidFill>
            <a:ln>
              <a:noFill/>
            </a:ln>
            <a:effectLst/>
          </c:spPr>
          <c:invertIfNegative val="0"/>
          <c:cat>
            <c:strRef>
              <c:f>Sheet2!$F$5:$F$10</c:f>
              <c:strCache>
                <c:ptCount val="6"/>
                <c:pt idx="0">
                  <c:v>Australia</c:v>
                </c:pt>
                <c:pt idx="1">
                  <c:v>Canada</c:v>
                </c:pt>
                <c:pt idx="2">
                  <c:v>New Zealand</c:v>
                </c:pt>
                <c:pt idx="3">
                  <c:v>Singapore</c:v>
                </c:pt>
                <c:pt idx="4">
                  <c:v>United Kingdom</c:v>
                </c:pt>
                <c:pt idx="5">
                  <c:v>United States</c:v>
                </c:pt>
              </c:strCache>
            </c:strRef>
          </c:cat>
          <c:val>
            <c:numRef>
              <c:f>Sheet2!$J$5:$J$10</c:f>
              <c:numCache>
                <c:formatCode>0.0</c:formatCode>
                <c:ptCount val="6"/>
                <c:pt idx="0">
                  <c:v>3.7</c:v>
                </c:pt>
                <c:pt idx="1">
                  <c:v>4</c:v>
                </c:pt>
                <c:pt idx="2">
                  <c:v>3.6</c:v>
                </c:pt>
                <c:pt idx="3">
                  <c:v>4.3</c:v>
                </c:pt>
                <c:pt idx="4">
                  <c:v>3.7</c:v>
                </c:pt>
                <c:pt idx="5">
                  <c:v>3.8</c:v>
                </c:pt>
              </c:numCache>
            </c:numRef>
          </c:val>
          <c:extLst>
            <c:ext xmlns:c16="http://schemas.microsoft.com/office/drawing/2014/chart" uri="{C3380CC4-5D6E-409C-BE32-E72D297353CC}">
              <c16:uniqueId val="{00000003-3BE1-406E-A25A-95DAE298CEB8}"/>
            </c:ext>
          </c:extLst>
        </c:ser>
        <c:dLbls>
          <c:showLegendKey val="0"/>
          <c:showVal val="0"/>
          <c:showCatName val="0"/>
          <c:showSerName val="0"/>
          <c:showPercent val="0"/>
          <c:showBubbleSize val="0"/>
        </c:dLbls>
        <c:gapWidth val="219"/>
        <c:overlap val="-27"/>
        <c:axId val="1171935279"/>
        <c:axId val="1171934799"/>
      </c:barChart>
      <c:catAx>
        <c:axId val="1171935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934799"/>
        <c:crosses val="autoZero"/>
        <c:auto val="1"/>
        <c:lblAlgn val="ctr"/>
        <c:lblOffset val="100"/>
        <c:noMultiLvlLbl val="0"/>
      </c:catAx>
      <c:valAx>
        <c:axId val="1171934799"/>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LPI</a:t>
                </a:r>
                <a:r>
                  <a:rPr lang="en-AU" baseline="0"/>
                  <a:t> Score (1 = low, 5 = high)</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935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125AD01FF154F07A83BF8EF5961DB4F"/>
        <w:category>
          <w:name w:val="General"/>
          <w:gallery w:val="placeholder"/>
        </w:category>
        <w:types>
          <w:type w:val="bbPlcHdr"/>
        </w:types>
        <w:behaviors>
          <w:behavior w:val="content"/>
        </w:behaviors>
        <w:guid w:val="{BAE244DE-8CD0-484B-9095-BF970EA5E29E}"/>
      </w:docPartPr>
      <w:docPartBody>
        <w:p w:rsidR="00226874" w:rsidRDefault="00226874">
          <w:pPr>
            <w:pStyle w:val="C125AD01FF154F07A83BF8EF5961DB4F"/>
          </w:pPr>
          <w:r>
            <w:t>[</w:t>
          </w:r>
          <w:r w:rsidRPr="00B3130A">
            <w:rPr>
              <w:highlight w:val="yellow"/>
            </w:rPr>
            <w:t>Enter ISBN if applicable</w:t>
          </w:r>
          <w:r w:rsidRPr="00FB05BD">
            <w:t xml:space="preserve"> </w:t>
          </w:r>
          <w:r w:rsidRPr="000E5674">
            <w:t xml:space="preserve">ISBN </w:t>
          </w:r>
          <w:r w:rsidRPr="000E5674">
            <w:rPr>
              <w:highlight w:val="yellow"/>
            </w:rPr>
            <w:t>XXX-X-XXX-XXXXX-X</w:t>
          </w:r>
          <w:r>
            <w:rPr>
              <w:highlight w:val="yellow"/>
            </w:rPr>
            <w:t>]</w:t>
          </w:r>
        </w:p>
      </w:docPartBody>
    </w:docPart>
    <w:docPart>
      <w:docPartPr>
        <w:name w:val="79C966263859460EA0639CF773E1DA6A"/>
        <w:category>
          <w:name w:val="General"/>
          <w:gallery w:val="placeholder"/>
        </w:category>
        <w:types>
          <w:type w:val="bbPlcHdr"/>
        </w:types>
        <w:behaviors>
          <w:behavior w:val="content"/>
        </w:behaviors>
        <w:guid w:val="{27210B5E-4B4A-45F2-92E6-47485FF93BA8}"/>
      </w:docPartPr>
      <w:docPartBody>
        <w:p w:rsidR="00226874" w:rsidRDefault="00226874">
          <w:pPr>
            <w:pStyle w:val="79C966263859460EA0639CF773E1DA6A"/>
          </w:pPr>
          <w:r>
            <w:rPr>
              <w:rStyle w:val="PlaceholderText"/>
            </w:rPr>
            <w:t>[Category]</w:t>
          </w:r>
        </w:p>
      </w:docPartBody>
    </w:docPart>
    <w:docPart>
      <w:docPartPr>
        <w:name w:val="D14B089AA5EB4865B8C57335E4F9765D"/>
        <w:category>
          <w:name w:val="General"/>
          <w:gallery w:val="placeholder"/>
        </w:category>
        <w:types>
          <w:type w:val="bbPlcHdr"/>
        </w:types>
        <w:behaviors>
          <w:behavior w:val="content"/>
        </w:behaviors>
        <w:guid w:val="{8BAD6E33-7FF5-4C01-9C41-526A108EF1AE}"/>
      </w:docPartPr>
      <w:docPartBody>
        <w:p w:rsidR="00226874" w:rsidRDefault="00226874">
          <w:pPr>
            <w:pStyle w:val="D14B089AA5EB4865B8C57335E4F9765D"/>
          </w:pPr>
          <w:r>
            <w:rPr>
              <w:rStyle w:val="PlaceholderText"/>
            </w:rPr>
            <w:t>[Keywords]</w:t>
          </w:r>
        </w:p>
      </w:docPartBody>
    </w:docPart>
    <w:docPart>
      <w:docPartPr>
        <w:name w:val="F9B2952976774081B64138B36F6920F5"/>
        <w:category>
          <w:name w:val="General"/>
          <w:gallery w:val="placeholder"/>
        </w:category>
        <w:types>
          <w:type w:val="bbPlcHdr"/>
        </w:types>
        <w:behaviors>
          <w:behavior w:val="content"/>
        </w:behaviors>
        <w:guid w:val="{53FE98F4-B3BA-4E68-A82B-D4716A3415D4}"/>
      </w:docPartPr>
      <w:docPartBody>
        <w:p w:rsidR="007F7A6F" w:rsidRDefault="0098600F" w:rsidP="0098600F">
          <w:pPr>
            <w:pStyle w:val="F9B2952976774081B64138B36F6920F5"/>
          </w:pPr>
          <w:r w:rsidRPr="00EC51DD">
            <w:rPr>
              <w:rStyle w:val="PlaceholderText"/>
            </w:rPr>
            <w:t>[Title]</w:t>
          </w:r>
        </w:p>
      </w:docPartBody>
    </w:docPart>
    <w:docPart>
      <w:docPartPr>
        <w:name w:val="B559C7E1F2524543B1F93F1D0AFF8303"/>
        <w:category>
          <w:name w:val="General"/>
          <w:gallery w:val="placeholder"/>
        </w:category>
        <w:types>
          <w:type w:val="bbPlcHdr"/>
        </w:types>
        <w:behaviors>
          <w:behavior w:val="content"/>
        </w:behaviors>
        <w:guid w:val="{2918709A-32BA-4410-B526-F0E4639D8FB1}"/>
      </w:docPartPr>
      <w:docPartBody>
        <w:p w:rsidR="007F7A6F" w:rsidRDefault="0098600F" w:rsidP="0098600F">
          <w:pPr>
            <w:pStyle w:val="B559C7E1F2524543B1F93F1D0AFF8303"/>
          </w:pPr>
          <w:r w:rsidRPr="00EC51D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874"/>
    <w:rsid w:val="000567C7"/>
    <w:rsid w:val="000A63B4"/>
    <w:rsid w:val="000C5E72"/>
    <w:rsid w:val="000F62C2"/>
    <w:rsid w:val="000F6ADD"/>
    <w:rsid w:val="000F7441"/>
    <w:rsid w:val="00101216"/>
    <w:rsid w:val="00112FAE"/>
    <w:rsid w:val="00113251"/>
    <w:rsid w:val="00115EE2"/>
    <w:rsid w:val="0012169E"/>
    <w:rsid w:val="00134CE8"/>
    <w:rsid w:val="00136D77"/>
    <w:rsid w:val="001418A4"/>
    <w:rsid w:val="0016033A"/>
    <w:rsid w:val="00173436"/>
    <w:rsid w:val="00176A69"/>
    <w:rsid w:val="001C3978"/>
    <w:rsid w:val="001C4EAF"/>
    <w:rsid w:val="001D0FD4"/>
    <w:rsid w:val="001D6FEA"/>
    <w:rsid w:val="001E1D5C"/>
    <w:rsid w:val="001F3DEA"/>
    <w:rsid w:val="00200926"/>
    <w:rsid w:val="00226874"/>
    <w:rsid w:val="002342E3"/>
    <w:rsid w:val="00287F0D"/>
    <w:rsid w:val="002B213B"/>
    <w:rsid w:val="002F477B"/>
    <w:rsid w:val="0032414C"/>
    <w:rsid w:val="00390161"/>
    <w:rsid w:val="003A20A3"/>
    <w:rsid w:val="003C1787"/>
    <w:rsid w:val="003D1380"/>
    <w:rsid w:val="003E177A"/>
    <w:rsid w:val="00406E0E"/>
    <w:rsid w:val="0042518B"/>
    <w:rsid w:val="0046136A"/>
    <w:rsid w:val="00467693"/>
    <w:rsid w:val="004873CA"/>
    <w:rsid w:val="00497B7B"/>
    <w:rsid w:val="004A40AA"/>
    <w:rsid w:val="004E3662"/>
    <w:rsid w:val="005014AB"/>
    <w:rsid w:val="00517907"/>
    <w:rsid w:val="00551BDC"/>
    <w:rsid w:val="00576DFE"/>
    <w:rsid w:val="005C3AFB"/>
    <w:rsid w:val="005D15E1"/>
    <w:rsid w:val="00632A7E"/>
    <w:rsid w:val="00681790"/>
    <w:rsid w:val="00693F23"/>
    <w:rsid w:val="0069406F"/>
    <w:rsid w:val="006C2DA1"/>
    <w:rsid w:val="006E7C22"/>
    <w:rsid w:val="007271A1"/>
    <w:rsid w:val="00782DFD"/>
    <w:rsid w:val="007A1532"/>
    <w:rsid w:val="007C1ECF"/>
    <w:rsid w:val="007E02EE"/>
    <w:rsid w:val="007F7A6F"/>
    <w:rsid w:val="008045C6"/>
    <w:rsid w:val="00826116"/>
    <w:rsid w:val="00872D48"/>
    <w:rsid w:val="00882613"/>
    <w:rsid w:val="008E3722"/>
    <w:rsid w:val="008F442F"/>
    <w:rsid w:val="00900FB0"/>
    <w:rsid w:val="00901F6A"/>
    <w:rsid w:val="00907882"/>
    <w:rsid w:val="00942E02"/>
    <w:rsid w:val="0098600F"/>
    <w:rsid w:val="009D3D2B"/>
    <w:rsid w:val="00A020D9"/>
    <w:rsid w:val="00A2712C"/>
    <w:rsid w:val="00A50B7B"/>
    <w:rsid w:val="00A63E0F"/>
    <w:rsid w:val="00A746A8"/>
    <w:rsid w:val="00B01E0A"/>
    <w:rsid w:val="00B2393E"/>
    <w:rsid w:val="00B33DE5"/>
    <w:rsid w:val="00B53157"/>
    <w:rsid w:val="00B57DAC"/>
    <w:rsid w:val="00B636C2"/>
    <w:rsid w:val="00B90CB6"/>
    <w:rsid w:val="00BF5170"/>
    <w:rsid w:val="00C175DF"/>
    <w:rsid w:val="00C3799E"/>
    <w:rsid w:val="00C40AD6"/>
    <w:rsid w:val="00CB2D64"/>
    <w:rsid w:val="00D15D67"/>
    <w:rsid w:val="00D2207F"/>
    <w:rsid w:val="00D4503A"/>
    <w:rsid w:val="00D80717"/>
    <w:rsid w:val="00D811F1"/>
    <w:rsid w:val="00D86947"/>
    <w:rsid w:val="00D942C1"/>
    <w:rsid w:val="00DA4F10"/>
    <w:rsid w:val="00DF0667"/>
    <w:rsid w:val="00E14347"/>
    <w:rsid w:val="00E37172"/>
    <w:rsid w:val="00E37D82"/>
    <w:rsid w:val="00E9355C"/>
    <w:rsid w:val="00E94430"/>
    <w:rsid w:val="00EA508E"/>
    <w:rsid w:val="00EB3970"/>
    <w:rsid w:val="00EB7B22"/>
    <w:rsid w:val="00EC767C"/>
    <w:rsid w:val="00EE0137"/>
    <w:rsid w:val="00EE5E10"/>
    <w:rsid w:val="00F10266"/>
    <w:rsid w:val="00F26D2C"/>
    <w:rsid w:val="00F36616"/>
    <w:rsid w:val="00F56923"/>
    <w:rsid w:val="00F6446F"/>
    <w:rsid w:val="00F72235"/>
    <w:rsid w:val="00F91ACD"/>
    <w:rsid w:val="00F92250"/>
    <w:rsid w:val="00FA4DFE"/>
    <w:rsid w:val="00FA75B1"/>
    <w:rsid w:val="00FE1114"/>
    <w:rsid w:val="00FE7F52"/>
    <w:rsid w:val="00FF2C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600F"/>
    <w:rPr>
      <w:color w:val="808080"/>
    </w:rPr>
  </w:style>
  <w:style w:type="paragraph" w:customStyle="1" w:styleId="C125AD01FF154F07A83BF8EF5961DB4F">
    <w:name w:val="C125AD01FF154F07A83BF8EF5961DB4F"/>
  </w:style>
  <w:style w:type="paragraph" w:customStyle="1" w:styleId="79C966263859460EA0639CF773E1DA6A">
    <w:name w:val="79C966263859460EA0639CF773E1DA6A"/>
  </w:style>
  <w:style w:type="paragraph" w:customStyle="1" w:styleId="D14B089AA5EB4865B8C57335E4F9765D">
    <w:name w:val="D14B089AA5EB4865B8C57335E4F9765D"/>
  </w:style>
  <w:style w:type="paragraph" w:customStyle="1" w:styleId="F9B2952976774081B64138B36F6920F5">
    <w:name w:val="F9B2952976774081B64138B36F6920F5"/>
    <w:rsid w:val="0098600F"/>
    <w:pPr>
      <w:spacing w:line="278" w:lineRule="auto"/>
    </w:pPr>
    <w:rPr>
      <w:kern w:val="2"/>
      <w:sz w:val="24"/>
      <w:szCs w:val="24"/>
      <w14:ligatures w14:val="standardContextual"/>
    </w:rPr>
  </w:style>
  <w:style w:type="paragraph" w:customStyle="1" w:styleId="B559C7E1F2524543B1F93F1D0AFF8303">
    <w:name w:val="B559C7E1F2524543B1F93F1D0AFF8303"/>
    <w:rsid w:val="0098600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2026-06-17T00:00:00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04C2ED6474624087625D5BC8BDA46B" ma:contentTypeVersion="9" ma:contentTypeDescription="Create a new document." ma:contentTypeScope="" ma:versionID="9b55e86ec32ddf62e867b6ff51eb1982">
  <xsd:schema xmlns:xsd="http://www.w3.org/2001/XMLSchema" xmlns:xs="http://www.w3.org/2001/XMLSchema" xmlns:p="http://schemas.microsoft.com/office/2006/metadata/properties" xmlns:ns2="b3b9b181-06e0-4268-af22-c6840c33967c" xmlns:ns3="40b89a2c-dbe8-4aa4-bd74-be5189addec4" targetNamespace="http://schemas.microsoft.com/office/2006/metadata/properties" ma:root="true" ma:fieldsID="59add822de70a2ee165fa5d5abf4bd24" ns2:_="" ns3:_="">
    <xsd:import namespace="b3b9b181-06e0-4268-af22-c6840c33967c"/>
    <xsd:import namespace="40b89a2c-dbe8-4aa4-bd74-be5189addec4"/>
    <xsd:element name="properties">
      <xsd:complexType>
        <xsd:sequence>
          <xsd:element name="documentManagement">
            <xsd:complexType>
              <xsd:all>
                <xsd:element ref="ns2:RecordNumber" minOccurs="0"/>
                <xsd:element ref="ns2:g7a2f445ab5e4aa2ad49ebf38fd81cc6" minOccurs="0"/>
                <xsd:element ref="ns2:TaxCatchAll" minOccurs="0"/>
                <xsd:element ref="ns2:TaxCatchAllLabel" minOccurs="0"/>
                <xsd:element ref="ns2:ne6d73d4a8b14472a6a14c195f235605" minOccurs="0"/>
                <xsd:element ref="ns2:Destroy Item46" minOccurs="0"/>
                <xsd:element ref="ns2:Justification for Destruction47" minOccurs="0"/>
                <xsd:element ref="ns2:Document_x0020_SP_x0020_Type" minOccurs="0"/>
                <xsd:element ref="ns2:SharedWithUsers" minOccurs="0"/>
                <xsd:element ref="ns2:SharedWithDetails" minOccurs="0"/>
                <xsd:element ref="ns3:Project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b181-06e0-4268-af22-c6840c33967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g7a2f445ab5e4aa2ad49ebf38fd81cc6" ma:index="9" ma:taxonomy="true" ma:internalName="g7a2f445ab5e4aa2ad49ebf38fd81cc6" ma:taxonomyFieldName="Security_x0020_Classification" ma:displayName="Security Classification" ma:readOnly="false" ma:default="1;#OFFICIAL|66ee57a8-59d0-46bc-a5fc-78440ee0cf81" ma:fieldId="{07a2f445-ab5e-4aa2-ad49-ebf38fd81cc6}"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b652d38-8c68-4034-afbd-1c7523511a25}" ma:internalName="TaxCatchAll" ma:showField="CatchAllData"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b652d38-8c68-4034-afbd-1c7523511a25}" ma:internalName="TaxCatchAllLabel" ma:readOnly="true" ma:showField="CatchAllDataLabel"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ne6d73d4a8b14472a6a14c195f235605" ma:index="13" nillable="true" ma:taxonomy="true" ma:internalName="ne6d73d4a8b14472a6a14c195f235605" ma:taxonomyFieldName="Information_x0020_Management_x0020_Marker" ma:displayName="Information Management Marker" ma:default="" ma:fieldId="{7e6d73d4-a8b1-4472-a6a1-4c195f235605}"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89a2c-dbe8-4aa4-bd74-be5189addec4" elementFormDefault="qualified">
    <xsd:import namespace="http://schemas.microsoft.com/office/2006/documentManagement/types"/>
    <xsd:import namespace="http://schemas.microsoft.com/office/infopath/2007/PartnerControls"/>
    <xsd:element name="Project_x0020_activity" ma:index="21" nillable="true" ma:displayName="Project activity" ma:default="None" ma:description="Document types/phases of the project" ma:internalName="Project_x0020_activ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BC0471-D92D-497D-9EA4-A449692A9CD2}">
  <ds:schemaRefs>
    <ds:schemaRef ds:uri="http://schemas.openxmlformats.org/officeDocument/2006/bibliography"/>
  </ds:schemaRefs>
</ds:datastoreItem>
</file>

<file path=customXml/itemProps3.xml><?xml version="1.0" encoding="utf-8"?>
<ds:datastoreItem xmlns:ds="http://schemas.openxmlformats.org/officeDocument/2006/customXml" ds:itemID="{01C9BB2B-4515-4C2E-8488-8FD69A15DB81}">
  <ds:schemaRefs>
    <ds:schemaRef ds:uri="http://schemas.microsoft.com/sharepoint/v3/contenttype/forms"/>
  </ds:schemaRefs>
</ds:datastoreItem>
</file>

<file path=customXml/itemProps4.xml><?xml version="1.0" encoding="utf-8"?>
<ds:datastoreItem xmlns:ds="http://schemas.openxmlformats.org/officeDocument/2006/customXml" ds:itemID="{2E565E30-B6BA-43B3-84F1-D398C036B8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b181-06e0-4268-af22-c6840c33967c"/>
    <ds:schemaRef ds:uri="40b89a2c-dbe8-4aa4-bd74-be5189add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e08a618-4c1e-4517-8ef1-59cb63d68e36}" enabled="1" method="Privileged" siteId="{aa21b640-bac2-456d-8505-f2cc07f51784}" contentBits="3" removed="0"/>
</clbl:labelList>
</file>

<file path=docProps/app.xml><?xml version="1.0" encoding="utf-8"?>
<Properties xmlns="http://schemas.openxmlformats.org/officeDocument/2006/extended-properties" xmlns:vt="http://schemas.openxmlformats.org/officeDocument/2006/docPropsVTypes">
  <Template>Report portrait</Template>
  <TotalTime>30700</TotalTime>
  <Pages>31</Pages>
  <Words>8379</Words>
  <Characters>47766</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National Freight and Supply Chain Strategy</vt:lpstr>
    </vt:vector>
  </TitlesOfParts>
  <Company>Department of Infrastructure &amp; Regional Development</Company>
  <LinksUpToDate>false</LinksUpToDate>
  <CharactersWithSpaces>56033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Freight and Supply Chain Strategy 2024-25 Annual Report</dc:title>
  <dc:subject/>
  <dc:creator>Belinda Seaman</dc:creator>
  <cp:keywords>1.0</cp:keywords>
  <dc:description/>
  <cp:lastModifiedBy>Belinda Seaman</cp:lastModifiedBy>
  <cp:revision>188</cp:revision>
  <cp:lastPrinted>2026-06-17T00:53:00Z</cp:lastPrinted>
  <dcterms:created xsi:type="dcterms:W3CDTF">2025-07-03T01:51:00Z</dcterms:created>
  <dcterms:modified xsi:type="dcterms:W3CDTF">2026-06-17T23:24:00Z</dcterms:modified>
  <cp:category>06/2026</cp:category>
  <cp:contentStatus>OFFICIAL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0x0101005204C2ED6474624087625D5BC8BDA46B</vt:lpwstr>
  </property>
  <property fmtid="{D5CDD505-2E9C-101B-9397-08002B2CF9AE}" pid="3" name="ClassificationContentMarkingHeaderShapeIds">
    <vt:lpwstr>6da3ae69,524e6d47,2bd129d7,45f83f1c,1d114bad,74bce2d3</vt:lpwstr>
  </property>
  <property fmtid="{D5CDD505-2E9C-101B-9397-08002B2CF9AE}" pid="4" name="ClassificationContentMarkingHeaderFontProps">
    <vt:lpwstr>#ff0000,14,Calibri</vt:lpwstr>
  </property>
  <property fmtid="{D5CDD505-2E9C-101B-9397-08002B2CF9AE}" pid="5" name="ClassificationContentMarkingHeaderText">
    <vt:lpwstr>OFFICIAL</vt:lpwstr>
  </property>
  <property fmtid="{D5CDD505-2E9C-101B-9397-08002B2CF9AE}" pid="6" name="ClassificationContentMarkingFooterShapeIds">
    <vt:lpwstr>6ea13522,28ae96c3,12bb6ee8,3ff14885</vt:lpwstr>
  </property>
  <property fmtid="{D5CDD505-2E9C-101B-9397-08002B2CF9AE}" pid="7" name="ClassificationContentMarkingFooterFontProps">
    <vt:lpwstr>#ff0000,14,Calibri</vt:lpwstr>
  </property>
  <property fmtid="{D5CDD505-2E9C-101B-9397-08002B2CF9AE}" pid="8" name="ClassificationContentMarkingFooterText">
    <vt:lpwstr>OFFICIAL</vt:lpwstr>
  </property>
</Properties>
</file>